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343" w:rsidRDefault="00E96343">
      <w:pPr>
        <w:pStyle w:val="Sous-titre"/>
        <w:rPr>
          <w:rFonts w:asciiTheme="majorHAnsi" w:eastAsiaTheme="majorEastAsia" w:hAnsiTheme="majorHAnsi" w:cstheme="majorHAnsi"/>
          <w:color w:val="0032C8" w:themeColor="accent1"/>
          <w:spacing w:val="-10"/>
          <w:sz w:val="90"/>
          <w:szCs w:val="56"/>
          <w:lang w:val="en-GB"/>
        </w:rPr>
      </w:pPr>
    </w:p>
    <w:p w:rsidR="00E96343" w:rsidRDefault="00190EF8">
      <w:pPr>
        <w:pStyle w:val="Sous-titre"/>
        <w:rPr>
          <w:rFonts w:asciiTheme="majorHAnsi" w:hAnsiTheme="majorHAnsi" w:cstheme="majorHAnsi"/>
          <w:color w:val="0032C8" w:themeColor="accent1"/>
          <w:sz w:val="72"/>
          <w:szCs w:val="72"/>
          <w:lang w:val="en-GB"/>
        </w:rPr>
      </w:pPr>
      <w:r>
        <w:rPr>
          <w:rFonts w:asciiTheme="majorHAnsi" w:eastAsiaTheme="majorEastAsia" w:hAnsiTheme="majorHAnsi" w:cstheme="majorHAnsi"/>
          <w:color w:val="0032C8" w:themeColor="accent1"/>
          <w:spacing w:val="-10"/>
          <w:sz w:val="72"/>
          <w:szCs w:val="72"/>
          <w:lang w:val="en-GB"/>
        </w:rPr>
        <w:t xml:space="preserve">Rules of the call for application </w:t>
      </w:r>
    </w:p>
    <w:p w:rsidR="00E96343" w:rsidRDefault="00E96343">
      <w:pPr>
        <w:pStyle w:val="Sous-titre"/>
        <w:tabs>
          <w:tab w:val="left" w:pos="1230"/>
        </w:tabs>
        <w:rPr>
          <w:rFonts w:asciiTheme="majorHAnsi" w:hAnsiTheme="majorHAnsi" w:cstheme="majorHAnsi"/>
          <w:lang w:val="en-GB"/>
        </w:rPr>
      </w:pPr>
    </w:p>
    <w:p w:rsidR="00E96343" w:rsidRDefault="00E96343">
      <w:pPr>
        <w:pStyle w:val="Sous-titre"/>
        <w:tabs>
          <w:tab w:val="left" w:pos="1230"/>
        </w:tabs>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noProof/>
          <w:color w:val="0032C8" w:themeColor="accent1"/>
          <w:lang w:eastAsia="fr-FR"/>
        </w:rPr>
        <mc:AlternateContent>
          <mc:Choice Requires="wpg">
            <w:drawing>
              <wp:anchor distT="0" distB="0" distL="114300" distR="114300" simplePos="0" relativeHeight="251661312" behindDoc="1" locked="0" layoutInCell="1" allowOverlap="1">
                <wp:simplePos x="0" y="0"/>
                <wp:positionH relativeFrom="margin">
                  <wp:align>center</wp:align>
                </wp:positionH>
                <wp:positionV relativeFrom="page">
                  <wp:posOffset>4039870</wp:posOffset>
                </wp:positionV>
                <wp:extent cx="7106285" cy="5246370"/>
                <wp:effectExtent l="0" t="0" r="0" b="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106285" cy="5246370"/>
                        </a:xfrm>
                        <a:prstGeom prst="rect">
                          <a:avLst/>
                        </a:prstGeom>
                        <a:blipFill>
                          <a:blip r:embed="rId8"/>
                          <a:srcRect t="13740" b="13739"/>
                          <a:stretch/>
                        </a:blipFill>
                        <a:ln>
                          <a:noFill/>
                        </a:ln>
                      </wps:spPr>
                      <wps:style>
                        <a:lnRef idx="2">
                          <a:schemeClr val="accent1">
                            <a:shade val="15000"/>
                          </a:schemeClr>
                        </a:lnRef>
                        <a:fillRef idx="1">
                          <a:schemeClr val="accent1"/>
                        </a:fillRef>
                        <a:effectRef idx="0">
                          <a:schemeClr val="accent1"/>
                        </a:effectRef>
                        <a:fontRef idx="minor">
                          <a:schemeClr val="lt1"/>
                        </a:fontRef>
                      </wps:style>
                      <wps:txbx>
                        <w:txbxContent>
                          <w:p w:rsidR="00E96343" w:rsidRDefault="00E96343">
                            <w:pPr>
                              <w:rPr>
                                <w:b/>
                                <w:bCs/>
                                <w:sz w:val="28"/>
                                <w:szCs w:val="28"/>
                                <w:lang w:val="en-US"/>
                              </w:rPr>
                            </w:pPr>
                          </w:p>
                          <w:p w:rsidR="00E96343" w:rsidRDefault="00E96343">
                            <w:pPr>
                              <w:rPr>
                                <w:b/>
                                <w:bCs/>
                                <w:sz w:val="28"/>
                                <w:szCs w:val="28"/>
                                <w:lang w:val="en-US"/>
                              </w:rPr>
                            </w:pPr>
                          </w:p>
                          <w:p w:rsidR="00E96343" w:rsidRDefault="00E96343">
                            <w:pPr>
                              <w:ind w:firstLine="284"/>
                              <w:rPr>
                                <w:b/>
                                <w:bCs/>
                                <w:sz w:val="24"/>
                                <w:szCs w:val="24"/>
                                <w:lang w:val="en-US"/>
                              </w:rPr>
                            </w:pPr>
                          </w:p>
                          <w:p w:rsidR="00E96343" w:rsidRDefault="00E96343">
                            <w:pPr>
                              <w:ind w:firstLine="284"/>
                              <w:rPr>
                                <w:b/>
                                <w:bCs/>
                                <w:sz w:val="28"/>
                                <w:szCs w:val="28"/>
                                <w:lang w:val="en-US"/>
                              </w:rPr>
                            </w:pPr>
                          </w:p>
                          <w:p w:rsidR="00E96343" w:rsidRDefault="00E96343">
                            <w:pPr>
                              <w:ind w:firstLine="284"/>
                              <w:rPr>
                                <w:b/>
                                <w:bCs/>
                                <w:sz w:val="28"/>
                                <w:szCs w:val="28"/>
                                <w:lang w:val="en-US"/>
                              </w:rPr>
                            </w:pPr>
                          </w:p>
                          <w:p w:rsidR="00E96343" w:rsidRDefault="00E96343">
                            <w:pPr>
                              <w:ind w:firstLine="284"/>
                              <w:rPr>
                                <w:b/>
                                <w:bCs/>
                                <w:sz w:val="28"/>
                                <w:szCs w:val="28"/>
                                <w:lang w:val="en-US"/>
                              </w:rPr>
                            </w:pPr>
                          </w:p>
                          <w:p w:rsidR="00E96343" w:rsidRDefault="00E96343">
                            <w:pPr>
                              <w:ind w:firstLine="284"/>
                              <w:rPr>
                                <w:b/>
                                <w:bCs/>
                                <w:sz w:val="28"/>
                                <w:szCs w:val="28"/>
                                <w:lang w:val="en-US"/>
                              </w:rPr>
                            </w:pPr>
                          </w:p>
                          <w:p w:rsidR="00E96343" w:rsidRDefault="00E96343">
                            <w:pPr>
                              <w:ind w:firstLine="284"/>
                              <w:rPr>
                                <w:b/>
                                <w:bCs/>
                                <w:sz w:val="28"/>
                                <w:szCs w:val="28"/>
                                <w:lang w:val="en-US"/>
                              </w:rPr>
                            </w:pPr>
                          </w:p>
                          <w:p w:rsidR="00E96343" w:rsidRDefault="00E96343">
                            <w:pPr>
                              <w:ind w:firstLine="284"/>
                              <w:rPr>
                                <w:b/>
                                <w:bCs/>
                                <w:sz w:val="28"/>
                                <w:szCs w:val="28"/>
                                <w:lang w:val="en-US"/>
                              </w:rPr>
                            </w:pPr>
                          </w:p>
                          <w:p w:rsidR="00E96343" w:rsidRDefault="00E96343">
                            <w:pPr>
                              <w:ind w:firstLine="284"/>
                              <w:rPr>
                                <w:b/>
                                <w:bCs/>
                                <w:sz w:val="28"/>
                                <w:szCs w:val="28"/>
                                <w:lang w:val="en-US"/>
                              </w:rPr>
                            </w:pPr>
                          </w:p>
                          <w:p w:rsidR="00E96343" w:rsidRDefault="00190EF8">
                            <w:pPr>
                              <w:ind w:firstLine="284"/>
                              <w:rPr>
                                <w:b/>
                                <w:bCs/>
                                <w:sz w:val="28"/>
                                <w:szCs w:val="28"/>
                                <w:lang w:val="en-US"/>
                              </w:rPr>
                            </w:pPr>
                            <w:r>
                              <w:rPr>
                                <w:b/>
                                <w:bCs/>
                                <w:sz w:val="28"/>
                                <w:szCs w:val="28"/>
                                <w:lang w:val="en-US"/>
                              </w:rPr>
                              <w:t xml:space="preserve">Application reception deadline : October 04 2025 17h00 (Paris Time) </w:t>
                            </w:r>
                          </w:p>
                          <w:p w:rsidR="00E96343" w:rsidRDefault="00E96343">
                            <w:pPr>
                              <w:rPr>
                                <w:b/>
                                <w:bCs/>
                                <w:sz w:val="24"/>
                                <w:szCs w:val="24"/>
                                <w:lang w:val="en-US"/>
                              </w:rPr>
                            </w:pPr>
                          </w:p>
                          <w:p w:rsidR="00E96343" w:rsidRDefault="00190EF8">
                            <w:pPr>
                              <w:jc w:val="center"/>
                              <w:rPr>
                                <w:b/>
                                <w:bCs/>
                                <w:sz w:val="24"/>
                                <w:szCs w:val="24"/>
                              </w:rPr>
                            </w:pPr>
                            <w:r>
                              <w:rPr>
                                <w:b/>
                                <w:bCs/>
                                <w:sz w:val="24"/>
                                <w:szCs w:val="24"/>
                              </w:rPr>
                              <w:t>IFREMER</w:t>
                            </w:r>
                          </w:p>
                          <w:p w:rsidR="00E96343" w:rsidRDefault="00190EF8">
                            <w:pPr>
                              <w:jc w:val="center"/>
                              <w:rPr>
                                <w:sz w:val="24"/>
                                <w:szCs w:val="24"/>
                              </w:rPr>
                            </w:pPr>
                            <w:r>
                              <w:rPr>
                                <w:sz w:val="24"/>
                                <w:szCs w:val="24"/>
                              </w:rPr>
                              <w:t xml:space="preserve">1625 route de Sainte Anne </w:t>
                            </w:r>
                          </w:p>
                          <w:p w:rsidR="00E96343" w:rsidRDefault="00190EF8">
                            <w:pPr>
                              <w:jc w:val="center"/>
                              <w:rPr>
                                <w:sz w:val="24"/>
                                <w:szCs w:val="24"/>
                              </w:rPr>
                            </w:pPr>
                            <w:r>
                              <w:rPr>
                                <w:sz w:val="24"/>
                                <w:szCs w:val="24"/>
                              </w:rPr>
                              <w:t xml:space="preserve">29280 Plouzané </w:t>
                            </w:r>
                          </w:p>
                          <w:p w:rsidR="00E96343" w:rsidRDefault="00E96343">
                            <w:pPr>
                              <w:jc w:val="center"/>
                              <w:rPr>
                                <w:b/>
                                <w:bCs/>
                                <w:sz w:val="24"/>
                                <w:szCs w:val="24"/>
                              </w:rPr>
                            </w:pPr>
                          </w:p>
                          <w:p w:rsidR="00E96343" w:rsidRDefault="00190EF8">
                            <w:pPr>
                              <w:jc w:val="center"/>
                              <w:rPr>
                                <w:b/>
                                <w:bCs/>
                                <w:sz w:val="24"/>
                                <w:szCs w:val="24"/>
                                <w:lang w:val="en-US"/>
                              </w:rPr>
                            </w:pPr>
                            <w:r>
                              <w:rPr>
                                <w:b/>
                                <w:bCs/>
                                <w:sz w:val="24"/>
                                <w:szCs w:val="24"/>
                                <w:lang w:val="en-US"/>
                              </w:rPr>
                              <w:t>Procedure with negotiation in accordance with artic</w:t>
                            </w:r>
                            <w:r>
                              <w:rPr>
                                <w:b/>
                                <w:bCs/>
                                <w:sz w:val="24"/>
                                <w:szCs w:val="24"/>
                                <w:lang w:val="en-US"/>
                              </w:rPr>
                              <w:t>le L2124-3 of the French code for public procurement</w:t>
                            </w:r>
                          </w:p>
                          <w:p w:rsidR="00E96343" w:rsidRDefault="00E96343">
                            <w:pPr>
                              <w:jc w:val="center"/>
                              <w:rPr>
                                <w:b/>
                                <w:bCs/>
                                <w:sz w:val="24"/>
                                <w:szCs w:val="24"/>
                                <w:lang w:val="en-US"/>
                              </w:rPr>
                            </w:pPr>
                          </w:p>
                          <w:p w:rsidR="00E96343" w:rsidRDefault="00E96343">
                            <w:pPr>
                              <w:jc w:val="center"/>
                              <w:rPr>
                                <w:b/>
                                <w:bCs/>
                                <w:sz w:val="24"/>
                                <w:szCs w:val="24"/>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 id="shape 0" o:spid="_x0000_s0" o:spt="1" type="#_x0000_t1" style="position:absolute;z-index:-251661312;o:allowoverlap:true;o:allowincell:true;mso-position-horizontal-relative:margin;mso-position-horizontal:center;mso-position-vertical-relative:page;margin-top:318.10pt;mso-position-vertical:absolute;width:559.55pt;height:413.10pt;mso-wrap-distance-left:9.00pt;mso-wrap-distance-top:0.00pt;mso-wrap-distance-right:9.00pt;mso-wrap-distance-bottom:0.00pt;v-text-anchor:middle;visibility:visible;" stroked="f" strokeweight="1.00pt">
                <v:fill r:id="rId10" o:title="" type="frame"/>
                <v:stroke dashstyle="solid"/>
                <v:textbox inset="0,0,0,0">
                  <w:txbxContent>
                    <w:p>
                      <w:pPr>
                        <w:pBdr/>
                        <w:spacing/>
                        <w:ind/>
                        <w:rPr>
                          <w:b/>
                          <w:bCs/>
                          <w:sz w:val="28"/>
                          <w:szCs w:val="28"/>
                          <w:lang w:val="en-US"/>
                        </w:rPr>
                      </w:pPr>
                      <w:r>
                        <w:rPr>
                          <w:b/>
                          <w:bCs/>
                          <w:sz w:val="28"/>
                          <w:szCs w:val="28"/>
                          <w:lang w:val="en-US"/>
                        </w:rPr>
                      </w:r>
                      <w:r>
                        <w:rPr>
                          <w:b/>
                          <w:bCs/>
                          <w:sz w:val="28"/>
                          <w:szCs w:val="28"/>
                          <w:lang w:val="en-US"/>
                        </w:rPr>
                      </w:r>
                      <w:r>
                        <w:rPr>
                          <w:b/>
                          <w:bCs/>
                          <w:sz w:val="28"/>
                          <w:szCs w:val="28"/>
                          <w:lang w:val="en-US"/>
                        </w:rPr>
                      </w:r>
                    </w:p>
                    <w:p>
                      <w:pPr>
                        <w:pBdr/>
                        <w:spacing/>
                        <w:ind/>
                        <w:rPr>
                          <w:b/>
                          <w:bCs/>
                          <w:sz w:val="28"/>
                          <w:szCs w:val="28"/>
                          <w:lang w:val="en-US"/>
                        </w:rPr>
                      </w:pPr>
                      <w:r>
                        <w:rPr>
                          <w:b/>
                          <w:bCs/>
                          <w:sz w:val="28"/>
                          <w:szCs w:val="28"/>
                          <w:lang w:val="en-US"/>
                        </w:rPr>
                      </w:r>
                      <w:r>
                        <w:rPr>
                          <w:b/>
                          <w:bCs/>
                          <w:sz w:val="28"/>
                          <w:szCs w:val="28"/>
                          <w:lang w:val="en-US"/>
                        </w:rPr>
                      </w:r>
                      <w:r>
                        <w:rPr>
                          <w:b/>
                          <w:bCs/>
                          <w:sz w:val="28"/>
                          <w:szCs w:val="28"/>
                          <w:lang w:val="en-US"/>
                        </w:rPr>
                      </w:r>
                    </w:p>
                    <w:p>
                      <w:pPr>
                        <w:pBdr/>
                        <w:spacing/>
                        <w:ind w:firstLine="284"/>
                        <w:rPr>
                          <w:b/>
                          <w:bCs/>
                          <w:sz w:val="24"/>
                          <w:szCs w:val="24"/>
                          <w:lang w:val="en-US"/>
                        </w:rPr>
                      </w:pPr>
                      <w:r>
                        <w:rPr>
                          <w:b/>
                          <w:bCs/>
                          <w:sz w:val="28"/>
                          <w:szCs w:val="28"/>
                          <w:highlight w:val="none"/>
                          <w:lang w:val="en-US"/>
                        </w:rPr>
                      </w:r>
                      <w:r>
                        <w:rPr>
                          <w:b/>
                          <w:bCs/>
                          <w:sz w:val="24"/>
                          <w:szCs w:val="24"/>
                          <w:lang w:val="en-US"/>
                        </w:rPr>
                      </w:r>
                      <w:r>
                        <w:rPr>
                          <w:b/>
                          <w:bCs/>
                          <w:sz w:val="24"/>
                          <w:szCs w:val="24"/>
                          <w:lang w:val="en-US"/>
                        </w:rPr>
                      </w:r>
                    </w:p>
                    <w:p>
                      <w:pPr>
                        <w:pBdr/>
                        <w:spacing/>
                        <w:ind w:firstLine="284"/>
                        <w:rPr>
                          <w:b/>
                          <w:bCs/>
                          <w:sz w:val="28"/>
                          <w:szCs w:val="28"/>
                          <w:highlight w:val="none"/>
                          <w:lang w:val="en-US"/>
                        </w:rPr>
                      </w:pPr>
                      <w:r>
                        <w:rPr>
                          <w:b/>
                          <w:bCs/>
                          <w:sz w:val="28"/>
                          <w:szCs w:val="28"/>
                          <w:highlight w:val="none"/>
                          <w:lang w:val="en-US"/>
                        </w:rPr>
                      </w:r>
                      <w:r>
                        <w:rPr>
                          <w:b/>
                          <w:bCs/>
                          <w:sz w:val="28"/>
                          <w:szCs w:val="28"/>
                          <w:highlight w:val="none"/>
                          <w:lang w:val="en-US"/>
                        </w:rPr>
                      </w:r>
                      <w:r>
                        <w:rPr>
                          <w:b/>
                          <w:bCs/>
                          <w:sz w:val="28"/>
                          <w:szCs w:val="28"/>
                          <w:highlight w:val="none"/>
                          <w:lang w:val="en-US"/>
                        </w:rPr>
                      </w:r>
                    </w:p>
                    <w:p>
                      <w:pPr>
                        <w:pBdr/>
                        <w:spacing/>
                        <w:ind w:firstLine="284"/>
                        <w:rPr>
                          <w:b/>
                          <w:bCs/>
                          <w:sz w:val="28"/>
                          <w:szCs w:val="28"/>
                          <w:highlight w:val="none"/>
                          <w:lang w:val="en-US"/>
                        </w:rPr>
                      </w:pPr>
                      <w:r>
                        <w:rPr>
                          <w:b/>
                          <w:bCs/>
                          <w:sz w:val="28"/>
                          <w:szCs w:val="28"/>
                          <w:highlight w:val="none"/>
                          <w:lang w:val="en-US"/>
                        </w:rPr>
                      </w:r>
                      <w:r>
                        <w:rPr>
                          <w:b/>
                          <w:bCs/>
                          <w:sz w:val="28"/>
                          <w:szCs w:val="28"/>
                          <w:highlight w:val="none"/>
                          <w:lang w:val="en-US"/>
                        </w:rPr>
                      </w:r>
                      <w:r>
                        <w:rPr>
                          <w:b/>
                          <w:bCs/>
                          <w:sz w:val="28"/>
                          <w:szCs w:val="28"/>
                          <w:highlight w:val="none"/>
                          <w:lang w:val="en-US"/>
                        </w:rPr>
                      </w:r>
                    </w:p>
                    <w:p>
                      <w:pPr>
                        <w:pBdr/>
                        <w:spacing/>
                        <w:ind w:firstLine="284"/>
                        <w:rPr>
                          <w:b/>
                          <w:bCs/>
                          <w:sz w:val="28"/>
                          <w:szCs w:val="28"/>
                          <w:highlight w:val="none"/>
                          <w:lang w:val="en-US"/>
                        </w:rPr>
                      </w:pPr>
                      <w:r>
                        <w:rPr>
                          <w:b/>
                          <w:bCs/>
                          <w:sz w:val="28"/>
                          <w:szCs w:val="28"/>
                          <w:highlight w:val="none"/>
                          <w:lang w:val="en-US"/>
                        </w:rPr>
                      </w:r>
                      <w:r>
                        <w:rPr>
                          <w:b/>
                          <w:bCs/>
                          <w:sz w:val="28"/>
                          <w:szCs w:val="28"/>
                          <w:highlight w:val="none"/>
                          <w:lang w:val="en-US"/>
                        </w:rPr>
                      </w:r>
                      <w:r>
                        <w:rPr>
                          <w:b/>
                          <w:bCs/>
                          <w:sz w:val="28"/>
                          <w:szCs w:val="28"/>
                          <w:highlight w:val="none"/>
                          <w:lang w:val="en-US"/>
                        </w:rPr>
                      </w:r>
                    </w:p>
                    <w:p>
                      <w:pPr>
                        <w:pBdr/>
                        <w:spacing/>
                        <w:ind w:firstLine="284"/>
                        <w:rPr>
                          <w:b/>
                          <w:bCs/>
                          <w:sz w:val="28"/>
                          <w:szCs w:val="28"/>
                          <w:highlight w:val="none"/>
                          <w:lang w:val="en-US"/>
                        </w:rPr>
                      </w:pPr>
                      <w:r>
                        <w:rPr>
                          <w:b/>
                          <w:bCs/>
                          <w:sz w:val="28"/>
                          <w:szCs w:val="28"/>
                          <w:highlight w:val="none"/>
                          <w:lang w:val="en-US"/>
                        </w:rPr>
                      </w:r>
                      <w:r>
                        <w:rPr>
                          <w:b/>
                          <w:bCs/>
                          <w:sz w:val="28"/>
                          <w:szCs w:val="28"/>
                          <w:highlight w:val="none"/>
                          <w:lang w:val="en-US"/>
                        </w:rPr>
                      </w:r>
                      <w:r>
                        <w:rPr>
                          <w:b/>
                          <w:bCs/>
                          <w:sz w:val="28"/>
                          <w:szCs w:val="28"/>
                          <w:highlight w:val="none"/>
                          <w:lang w:val="en-US"/>
                        </w:rPr>
                      </w:r>
                    </w:p>
                    <w:p>
                      <w:pPr>
                        <w:pBdr/>
                        <w:spacing/>
                        <w:ind w:firstLine="284"/>
                        <w:rPr>
                          <w:b/>
                          <w:bCs/>
                          <w:sz w:val="28"/>
                          <w:szCs w:val="28"/>
                          <w:highlight w:val="none"/>
                          <w:lang w:val="en-US"/>
                        </w:rPr>
                      </w:pPr>
                      <w:r>
                        <w:rPr>
                          <w:b/>
                          <w:bCs/>
                          <w:sz w:val="28"/>
                          <w:szCs w:val="28"/>
                          <w:highlight w:val="none"/>
                          <w:lang w:val="en-US"/>
                        </w:rPr>
                      </w:r>
                      <w:r>
                        <w:rPr>
                          <w:b/>
                          <w:bCs/>
                          <w:sz w:val="28"/>
                          <w:szCs w:val="28"/>
                          <w:highlight w:val="none"/>
                          <w:lang w:val="en-US"/>
                        </w:rPr>
                      </w:r>
                      <w:r>
                        <w:rPr>
                          <w:b/>
                          <w:bCs/>
                          <w:sz w:val="28"/>
                          <w:szCs w:val="28"/>
                          <w:highlight w:val="none"/>
                          <w:lang w:val="en-US"/>
                        </w:rPr>
                      </w:r>
                    </w:p>
                    <w:p>
                      <w:pPr>
                        <w:pBdr/>
                        <w:spacing/>
                        <w:ind w:firstLine="284"/>
                        <w:rPr>
                          <w:b/>
                          <w:bCs/>
                          <w:sz w:val="28"/>
                          <w:szCs w:val="28"/>
                          <w:highlight w:val="none"/>
                          <w:lang w:val="en-US"/>
                        </w:rPr>
                      </w:pPr>
                      <w:r>
                        <w:rPr>
                          <w:b/>
                          <w:bCs/>
                          <w:sz w:val="28"/>
                          <w:szCs w:val="28"/>
                          <w:highlight w:val="none"/>
                          <w:lang w:val="en-US"/>
                        </w:rPr>
                      </w:r>
                      <w:r>
                        <w:rPr>
                          <w:b/>
                          <w:bCs/>
                          <w:sz w:val="28"/>
                          <w:szCs w:val="28"/>
                          <w:highlight w:val="none"/>
                          <w:lang w:val="en-US"/>
                        </w:rPr>
                      </w:r>
                      <w:r>
                        <w:rPr>
                          <w:b/>
                          <w:bCs/>
                          <w:sz w:val="28"/>
                          <w:szCs w:val="28"/>
                          <w:highlight w:val="none"/>
                          <w:lang w:val="en-US"/>
                        </w:rPr>
                      </w:r>
                    </w:p>
                    <w:p>
                      <w:pPr>
                        <w:pBdr/>
                        <w:spacing/>
                        <w:ind w:firstLine="284"/>
                        <w:rPr>
                          <w:b/>
                          <w:bCs/>
                          <w:sz w:val="28"/>
                          <w:szCs w:val="28"/>
                          <w:highlight w:val="none"/>
                          <w:lang w:val="en-US"/>
                        </w:rPr>
                      </w:pPr>
                      <w:r>
                        <w:rPr>
                          <w:b/>
                          <w:bCs/>
                          <w:sz w:val="28"/>
                          <w:szCs w:val="28"/>
                          <w:highlight w:val="none"/>
                          <w:lang w:val="en-US"/>
                        </w:rPr>
                      </w:r>
                      <w:r>
                        <w:rPr>
                          <w:b/>
                          <w:bCs/>
                          <w:sz w:val="28"/>
                          <w:szCs w:val="28"/>
                          <w:highlight w:val="none"/>
                          <w:lang w:val="en-US"/>
                        </w:rPr>
                      </w:r>
                      <w:r>
                        <w:rPr>
                          <w:b/>
                          <w:bCs/>
                          <w:sz w:val="28"/>
                          <w:szCs w:val="28"/>
                          <w:highlight w:val="none"/>
                          <w:lang w:val="en-US"/>
                        </w:rPr>
                      </w:r>
                    </w:p>
                    <w:p>
                      <w:pPr>
                        <w:pBdr/>
                        <w:spacing/>
                        <w:ind w:firstLine="284"/>
                        <w:rPr>
                          <w:b/>
                          <w:bCs/>
                          <w:sz w:val="28"/>
                          <w:szCs w:val="28"/>
                          <w:highlight w:val="none"/>
                          <w:lang w:val="en-US"/>
                        </w:rPr>
                      </w:pPr>
                      <w:r>
                        <w:rPr>
                          <w:b/>
                          <w:bCs/>
                          <w:sz w:val="28"/>
                          <w:szCs w:val="28"/>
                          <w:lang w:val="en-US"/>
                        </w:rPr>
                        <w:t xml:space="preserve">Application reception </w:t>
                      </w:r>
                      <w:r>
                        <w:rPr>
                          <w:b/>
                          <w:bCs/>
                          <w:sz w:val="28"/>
                          <w:szCs w:val="28"/>
                          <w:lang w:val="en-US"/>
                        </w:rPr>
                        <w:t xml:space="preserve">deadline :</w:t>
                      </w:r>
                      <w:r>
                        <w:rPr>
                          <w:b/>
                          <w:bCs/>
                          <w:sz w:val="28"/>
                          <w:szCs w:val="28"/>
                          <w:lang w:val="en-US"/>
                        </w:rPr>
                        <w:t xml:space="preserve"> October 04 2025 17h00 (Paris Time) </w:t>
                      </w:r>
                      <w:r>
                        <w:rPr>
                          <w:b/>
                          <w:bCs/>
                          <w:sz w:val="28"/>
                          <w:szCs w:val="28"/>
                          <w:highlight w:val="none"/>
                          <w:lang w:val="en-US"/>
                        </w:rPr>
                      </w:r>
                      <w:r>
                        <w:rPr>
                          <w:b/>
                          <w:bCs/>
                          <w:sz w:val="28"/>
                          <w:szCs w:val="28"/>
                          <w:highlight w:val="none"/>
                          <w:lang w:val="en-US"/>
                        </w:rPr>
                      </w:r>
                    </w:p>
                    <w:p>
                      <w:pPr>
                        <w:pBdr/>
                        <w:spacing/>
                        <w:ind/>
                        <w:rPr>
                          <w:b/>
                          <w:bCs/>
                          <w:sz w:val="24"/>
                          <w:szCs w:val="24"/>
                          <w:lang w:val="en-US"/>
                        </w:rPr>
                      </w:pPr>
                      <w:r>
                        <w:rPr>
                          <w:b/>
                          <w:bCs/>
                          <w:sz w:val="24"/>
                          <w:szCs w:val="24"/>
                          <w:lang w:val="en-US"/>
                        </w:rPr>
                      </w:r>
                      <w:r>
                        <w:rPr>
                          <w:b/>
                          <w:bCs/>
                          <w:sz w:val="24"/>
                          <w:szCs w:val="24"/>
                          <w:lang w:val="en-US"/>
                        </w:rPr>
                      </w:r>
                      <w:r>
                        <w:rPr>
                          <w:b/>
                          <w:bCs/>
                          <w:sz w:val="24"/>
                          <w:szCs w:val="24"/>
                          <w:lang w:val="en-US"/>
                        </w:rPr>
                      </w:r>
                    </w:p>
                    <w:p>
                      <w:pPr>
                        <w:pBdr/>
                        <w:spacing/>
                        <w:ind/>
                        <w:jc w:val="center"/>
                        <w:rPr>
                          <w:b/>
                          <w:bCs/>
                          <w:sz w:val="24"/>
                          <w:szCs w:val="24"/>
                        </w:rPr>
                      </w:pPr>
                      <w:r>
                        <w:rPr>
                          <w:b/>
                          <w:bCs/>
                          <w:sz w:val="24"/>
                          <w:szCs w:val="24"/>
                        </w:rPr>
                        <w:t xml:space="preserve">IFREMER</w:t>
                      </w:r>
                      <w:r>
                        <w:rPr>
                          <w:b/>
                          <w:bCs/>
                          <w:sz w:val="24"/>
                          <w:szCs w:val="24"/>
                        </w:rPr>
                      </w:r>
                      <w:r>
                        <w:rPr>
                          <w:b/>
                          <w:bCs/>
                          <w:sz w:val="24"/>
                          <w:szCs w:val="24"/>
                        </w:rPr>
                      </w:r>
                    </w:p>
                    <w:p>
                      <w:pPr>
                        <w:pBdr/>
                        <w:spacing/>
                        <w:ind/>
                        <w:jc w:val="center"/>
                        <w:rPr>
                          <w:sz w:val="24"/>
                          <w:szCs w:val="24"/>
                        </w:rPr>
                      </w:pPr>
                      <w:r>
                        <w:rPr>
                          <w:sz w:val="24"/>
                          <w:szCs w:val="24"/>
                        </w:rPr>
                        <w:t xml:space="preserve">1625 route de Sainte Anne </w:t>
                      </w:r>
                      <w:r>
                        <w:rPr>
                          <w:sz w:val="24"/>
                          <w:szCs w:val="24"/>
                        </w:rPr>
                      </w:r>
                      <w:r>
                        <w:rPr>
                          <w:sz w:val="24"/>
                          <w:szCs w:val="24"/>
                        </w:rPr>
                      </w:r>
                    </w:p>
                    <w:p>
                      <w:pPr>
                        <w:pBdr/>
                        <w:spacing/>
                        <w:ind/>
                        <w:jc w:val="center"/>
                        <w:rPr>
                          <w:sz w:val="24"/>
                          <w:szCs w:val="24"/>
                        </w:rPr>
                      </w:pPr>
                      <w:r>
                        <w:rPr>
                          <w:sz w:val="24"/>
                          <w:szCs w:val="24"/>
                        </w:rPr>
                        <w:t xml:space="preserve">29280 Plouzané </w:t>
                      </w:r>
                      <w:r>
                        <w:rPr>
                          <w:sz w:val="24"/>
                          <w:szCs w:val="24"/>
                        </w:rPr>
                      </w:r>
                      <w:r>
                        <w:rPr>
                          <w:sz w:val="24"/>
                          <w:szCs w:val="24"/>
                        </w:rPr>
                      </w:r>
                    </w:p>
                    <w:p>
                      <w:pPr>
                        <w:pBdr/>
                        <w:spacing/>
                        <w:ind/>
                        <w:jc w:val="center"/>
                        <w:rPr>
                          <w:b/>
                          <w:bCs/>
                          <w:sz w:val="24"/>
                          <w:szCs w:val="24"/>
                        </w:rPr>
                      </w:pPr>
                      <w:r>
                        <w:rPr>
                          <w:b/>
                          <w:bCs/>
                          <w:sz w:val="24"/>
                          <w:szCs w:val="24"/>
                        </w:rPr>
                      </w:r>
                      <w:r>
                        <w:rPr>
                          <w:b/>
                          <w:bCs/>
                          <w:sz w:val="24"/>
                          <w:szCs w:val="24"/>
                        </w:rPr>
                      </w:r>
                      <w:r>
                        <w:rPr>
                          <w:b/>
                          <w:bCs/>
                          <w:sz w:val="24"/>
                          <w:szCs w:val="24"/>
                        </w:rPr>
                      </w:r>
                    </w:p>
                    <w:p>
                      <w:pPr>
                        <w:pBdr/>
                        <w:spacing/>
                        <w:ind/>
                        <w:jc w:val="center"/>
                        <w:rPr>
                          <w:b/>
                          <w:bCs/>
                          <w:sz w:val="24"/>
                          <w:szCs w:val="24"/>
                          <w:lang w:val="en-US"/>
                        </w:rPr>
                      </w:pPr>
                      <w:r>
                        <w:rPr>
                          <w:b/>
                          <w:bCs/>
                          <w:sz w:val="24"/>
                          <w:szCs w:val="24"/>
                          <w:lang w:val="en-US"/>
                        </w:rPr>
                        <w:t xml:space="preserve">Procedure with nego</w:t>
                      </w:r>
                      <w:r>
                        <w:rPr>
                          <w:b/>
                          <w:bCs/>
                          <w:sz w:val="24"/>
                          <w:szCs w:val="24"/>
                          <w:lang w:val="en-US"/>
                        </w:rPr>
                        <w:t xml:space="preserve">t</w:t>
                      </w:r>
                      <w:r>
                        <w:rPr>
                          <w:b/>
                          <w:bCs/>
                          <w:sz w:val="24"/>
                          <w:szCs w:val="24"/>
                          <w:lang w:val="en-US"/>
                        </w:rPr>
                        <w:t xml:space="preserve">iation in accordance with artic</w:t>
                      </w:r>
                      <w:r>
                        <w:rPr>
                          <w:b/>
                          <w:bCs/>
                          <w:sz w:val="24"/>
                          <w:szCs w:val="24"/>
                          <w:lang w:val="en-US"/>
                        </w:rPr>
                        <w:t xml:space="preserve">le L2124-3 of the French code for</w:t>
                      </w:r>
                      <w:r>
                        <w:rPr>
                          <w:b/>
                          <w:bCs/>
                          <w:sz w:val="24"/>
                          <w:szCs w:val="24"/>
                          <w:lang w:val="en-US"/>
                        </w:rPr>
                        <w:t xml:space="preserve"> public procurement</w:t>
                      </w:r>
                      <w:r>
                        <w:rPr>
                          <w:b/>
                          <w:bCs/>
                          <w:sz w:val="24"/>
                          <w:szCs w:val="24"/>
                          <w:lang w:val="en-US"/>
                        </w:rPr>
                      </w:r>
                      <w:r>
                        <w:rPr>
                          <w:b/>
                          <w:bCs/>
                          <w:sz w:val="24"/>
                          <w:szCs w:val="24"/>
                          <w:lang w:val="en-US"/>
                        </w:rPr>
                      </w:r>
                    </w:p>
                    <w:p>
                      <w:pPr>
                        <w:pBdr/>
                        <w:spacing/>
                        <w:ind/>
                        <w:jc w:val="center"/>
                        <w:rPr>
                          <w:b/>
                          <w:bCs/>
                          <w:sz w:val="24"/>
                          <w:szCs w:val="24"/>
                          <w:lang w:val="en-US"/>
                        </w:rPr>
                      </w:pPr>
                      <w:r>
                        <w:rPr>
                          <w:b/>
                          <w:bCs/>
                          <w:sz w:val="24"/>
                          <w:szCs w:val="24"/>
                          <w:lang w:val="en-US"/>
                        </w:rPr>
                      </w:r>
                      <w:r>
                        <w:rPr>
                          <w:b/>
                          <w:bCs/>
                          <w:sz w:val="24"/>
                          <w:szCs w:val="24"/>
                          <w:lang w:val="en-US"/>
                        </w:rPr>
                      </w:r>
                      <w:r>
                        <w:rPr>
                          <w:b/>
                          <w:bCs/>
                          <w:sz w:val="24"/>
                          <w:szCs w:val="24"/>
                          <w:lang w:val="en-US"/>
                        </w:rPr>
                      </w:r>
                    </w:p>
                    <w:p>
                      <w:pPr>
                        <w:pBdr/>
                        <w:spacing/>
                        <w:ind/>
                        <w:jc w:val="center"/>
                        <w:rPr>
                          <w:b/>
                          <w:bCs/>
                          <w:sz w:val="24"/>
                          <w:szCs w:val="24"/>
                          <w:lang w:val="en-US"/>
                        </w:rPr>
                      </w:pPr>
                      <w:r>
                        <w:rPr>
                          <w:b/>
                          <w:bCs/>
                          <w:sz w:val="24"/>
                          <w:szCs w:val="24"/>
                          <w:lang w:val="en-US"/>
                        </w:rPr>
                      </w:r>
                      <w:r>
                        <w:rPr>
                          <w:b/>
                          <w:bCs/>
                          <w:sz w:val="24"/>
                          <w:szCs w:val="24"/>
                          <w:lang w:val="en-US"/>
                        </w:rPr>
                      </w:r>
                      <w:r>
                        <w:rPr>
                          <w:b/>
                          <w:bCs/>
                          <w:sz w:val="24"/>
                          <w:szCs w:val="24"/>
                          <w:lang w:val="en-US"/>
                        </w:rPr>
                      </w:r>
                    </w:p>
                  </w:txbxContent>
                </v:textbox>
              </v:shape>
            </w:pict>
          </mc:Fallback>
        </mc:AlternateContent>
      </w:r>
    </w:p>
    <w:p w:rsidR="00E96343" w:rsidRDefault="00190EF8">
      <w:pPr>
        <w:pStyle w:val="Sous-titre"/>
        <w:tabs>
          <w:tab w:val="left" w:pos="1230"/>
        </w:tabs>
        <w:ind w:left="0"/>
        <w:rPr>
          <w:rFonts w:asciiTheme="majorHAnsi" w:hAnsiTheme="majorHAnsi" w:cstheme="majorHAnsi"/>
          <w:color w:val="0032C8" w:themeColor="accent1"/>
          <w:sz w:val="48"/>
          <w:szCs w:val="16"/>
          <w:lang w:val="en-GB"/>
        </w:rPr>
      </w:pPr>
      <w:r>
        <w:rPr>
          <w:rFonts w:asciiTheme="majorHAnsi" w:hAnsiTheme="majorHAnsi" w:cstheme="majorHAnsi"/>
          <w:sz w:val="48"/>
          <w:szCs w:val="16"/>
          <w:lang w:val="en-GB"/>
        </w:rPr>
        <w:t xml:space="preserve">Naval engineering services for the design and construction follow-up of research vessel for Pacific and Antarctic region </w:t>
      </w:r>
      <w:r>
        <w:rPr>
          <w:rFonts w:asciiTheme="majorHAnsi" w:hAnsiTheme="majorHAnsi" w:cstheme="majorHAnsi"/>
          <w:i/>
          <w:sz w:val="48"/>
          <w:szCs w:val="16"/>
          <w:lang w:val="en-GB"/>
        </w:rPr>
        <w:t>Michel Rocard</w:t>
      </w:r>
      <w:r>
        <w:rPr>
          <w:rFonts w:asciiTheme="majorHAnsi" w:hAnsiTheme="majorHAnsi" w:cstheme="majorHAnsi"/>
          <w:sz w:val="48"/>
          <w:szCs w:val="16"/>
          <w:lang w:val="en-GB"/>
        </w:rPr>
        <w:t xml:space="preserve"> </w:t>
      </w:r>
    </w:p>
    <w:p w:rsidR="00E96343" w:rsidRDefault="00E96343">
      <w:pPr>
        <w:tabs>
          <w:tab w:val="left" w:pos="3060"/>
        </w:tabs>
        <w:ind w:firstLine="708"/>
        <w:rPr>
          <w:rFonts w:asciiTheme="majorHAnsi" w:hAnsiTheme="majorHAnsi" w:cstheme="majorHAnsi"/>
          <w:color w:val="FFFFFF" w:themeColor="background1"/>
          <w:sz w:val="32"/>
          <w:szCs w:val="32"/>
          <w:lang w:val="en-GB"/>
        </w:rPr>
      </w:pPr>
    </w:p>
    <w:p w:rsidR="00E96343" w:rsidRDefault="00190EF8">
      <w:pPr>
        <w:ind w:firstLine="284"/>
        <w:rPr>
          <w:rFonts w:asciiTheme="majorHAnsi" w:hAnsiTheme="majorHAnsi" w:cstheme="majorHAnsi"/>
          <w:color w:val="0032C8" w:themeColor="accent1"/>
          <w:sz w:val="28"/>
          <w:szCs w:val="28"/>
          <w:highlight w:val="white"/>
        </w:rPr>
      </w:pPr>
      <w:r>
        <w:rPr>
          <w:rFonts w:asciiTheme="majorHAnsi" w:hAnsiTheme="majorHAnsi" w:cstheme="majorHAnsi"/>
          <w:color w:val="0032C8" w:themeColor="accent1"/>
          <w:sz w:val="28"/>
          <w:szCs w:val="28"/>
          <w:highlight w:val="white"/>
          <w:lang w:val="en-GB"/>
        </w:rPr>
        <w:t>N°251000208</w:t>
      </w:r>
    </w:p>
    <w:p w:rsidR="00E96343" w:rsidRDefault="00E96343">
      <w:pPr>
        <w:ind w:firstLine="284"/>
        <w:rPr>
          <w:rFonts w:asciiTheme="majorHAnsi" w:hAnsiTheme="majorHAnsi" w:cstheme="majorHAnsi"/>
          <w:lang w:val="en-GB"/>
        </w:rPr>
      </w:pPr>
    </w:p>
    <w:p w:rsidR="00E96343" w:rsidRDefault="00190EF8">
      <w:pPr>
        <w:ind w:firstLine="284"/>
        <w:rPr>
          <w:rFonts w:asciiTheme="majorHAnsi" w:hAnsiTheme="majorHAnsi" w:cstheme="majorHAnsi"/>
          <w:lang w:val="en-GB"/>
        </w:rPr>
      </w:pPr>
      <w:r>
        <w:rPr>
          <w:rFonts w:asciiTheme="majorHAnsi" w:hAnsiTheme="majorHAnsi" w:cstheme="majorHAnsi"/>
          <w:lang w:val="en-GB"/>
        </w:rPr>
        <w:tab/>
      </w:r>
    </w:p>
    <w:p w:rsidR="00E96343" w:rsidRDefault="00E96343">
      <w:pPr>
        <w:ind w:firstLine="284"/>
        <w:rPr>
          <w:rFonts w:asciiTheme="majorHAnsi" w:hAnsiTheme="majorHAnsi" w:cstheme="majorHAnsi"/>
          <w:color w:val="FFFFFF" w:themeColor="background1"/>
          <w:sz w:val="28"/>
          <w:szCs w:val="28"/>
          <w:lang w:val="en-GB"/>
        </w:rPr>
      </w:pPr>
    </w:p>
    <w:p w:rsidR="00E96343" w:rsidRDefault="00E96343">
      <w:pPr>
        <w:jc w:val="center"/>
        <w:rPr>
          <w:rFonts w:asciiTheme="majorHAnsi" w:hAnsiTheme="majorHAnsi" w:cstheme="majorHAnsi"/>
          <w:lang w:val="en-GB"/>
        </w:rPr>
      </w:pPr>
    </w:p>
    <w:p w:rsidR="00E96343" w:rsidRDefault="00E96343">
      <w:pPr>
        <w:rPr>
          <w:rFonts w:asciiTheme="majorHAnsi" w:hAnsiTheme="majorHAnsi" w:cstheme="majorHAnsi"/>
          <w:lang w:val="en-GB"/>
        </w:rPr>
      </w:pPr>
    </w:p>
    <w:p w:rsidR="00E96343" w:rsidRDefault="00E96343">
      <w:pPr>
        <w:jc w:val="center"/>
        <w:rPr>
          <w:rFonts w:asciiTheme="majorHAnsi" w:hAnsiTheme="majorHAnsi" w:cstheme="majorHAnsi"/>
          <w:lang w:val="en-GB"/>
        </w:rPr>
      </w:pPr>
    </w:p>
    <w:p w:rsidR="00E96343" w:rsidRDefault="00190EF8">
      <w:pPr>
        <w:ind w:firstLine="284"/>
        <w:rPr>
          <w:rFonts w:asciiTheme="majorHAnsi" w:hAnsiTheme="majorHAnsi" w:cstheme="majorHAnsi"/>
          <w:lang w:val="en-GB"/>
        </w:rPr>
      </w:pPr>
      <w:r>
        <w:rPr>
          <w:rFonts w:asciiTheme="majorHAnsi" w:hAnsiTheme="majorHAnsi" w:cstheme="majorHAnsi"/>
          <w:lang w:val="en-GB"/>
        </w:rPr>
        <w:t xml:space="preserve"> </w:t>
      </w:r>
      <w:r>
        <w:rPr>
          <w:rFonts w:asciiTheme="majorHAnsi" w:hAnsiTheme="majorHAnsi" w:cstheme="majorHAnsi"/>
          <w:lang w:val="en-GB"/>
        </w:rPr>
        <w:tab/>
      </w:r>
    </w:p>
    <w:p w:rsidR="00E96343" w:rsidRDefault="00E96343">
      <w:pPr>
        <w:rPr>
          <w:rFonts w:asciiTheme="majorHAnsi" w:hAnsiTheme="majorHAnsi" w:cstheme="majorHAnsi"/>
          <w:lang w:val="en-GB"/>
        </w:rPr>
      </w:pPr>
    </w:p>
    <w:p w:rsidR="00E96343" w:rsidRDefault="00E96343">
      <w:pPr>
        <w:rPr>
          <w:rFonts w:asciiTheme="majorHAnsi" w:hAnsiTheme="majorHAnsi" w:cstheme="majorHAnsi"/>
          <w:lang w:val="en-GB"/>
        </w:rPr>
      </w:pPr>
    </w:p>
    <w:p w:rsidR="00E96343" w:rsidRDefault="00E96343">
      <w:pPr>
        <w:jc w:val="center"/>
        <w:rPr>
          <w:rFonts w:asciiTheme="majorHAnsi" w:hAnsiTheme="majorHAnsi" w:cstheme="majorHAnsi"/>
          <w:lang w:val="en-GB"/>
        </w:rPr>
      </w:pPr>
    </w:p>
    <w:p w:rsidR="00E96343" w:rsidRDefault="00E96343">
      <w:pPr>
        <w:pStyle w:val="Default"/>
        <w:jc w:val="center"/>
        <w:rPr>
          <w:rFonts w:asciiTheme="majorHAnsi" w:hAnsiTheme="majorHAnsi" w:cstheme="majorHAnsi"/>
          <w:b/>
          <w:bCs/>
          <w:color w:val="FFFFFF" w:themeColor="background1"/>
          <w:sz w:val="23"/>
          <w:szCs w:val="23"/>
          <w:lang w:val="en-GB"/>
        </w:rPr>
      </w:pPr>
    </w:p>
    <w:p w:rsidR="00E96343" w:rsidRDefault="00E96343">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p>
    <w:p w:rsidR="00E96343" w:rsidRDefault="00E96343">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p>
    <w:p w:rsidR="00E96343" w:rsidRDefault="00E96343">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p>
    <w:p w:rsidR="00E96343" w:rsidRDefault="00E96343">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p>
    <w:p w:rsidR="00E96343" w:rsidRDefault="00E96343">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p>
    <w:p w:rsidR="00E96343" w:rsidRDefault="00E96343">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p>
    <w:p w:rsidR="00E96343" w:rsidRDefault="00E96343">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p>
    <w:p w:rsidR="00E96343" w:rsidRDefault="00190EF8">
      <w:pPr>
        <w:pBdr>
          <w:top w:val="none" w:sz="4" w:space="0" w:color="000000"/>
          <w:left w:val="none" w:sz="4" w:space="0" w:color="000000"/>
          <w:bottom w:val="none" w:sz="4" w:space="0" w:color="000000"/>
          <w:right w:val="none" w:sz="4" w:space="0" w:color="000000"/>
        </w:pBdr>
        <w:spacing w:line="274" w:lineRule="atLeast"/>
        <w:ind w:left="714" w:hanging="357"/>
        <w:jc w:val="center"/>
        <w:rPr>
          <w:rFonts w:asciiTheme="majorHAnsi" w:eastAsia="Calibri" w:hAnsiTheme="majorHAnsi" w:cstheme="majorHAnsi"/>
          <w:color w:val="FFFFFF" w:themeColor="background1"/>
          <w:sz w:val="24"/>
          <w:szCs w:val="24"/>
          <w:lang w:val="en-GB"/>
        </w:rPr>
      </w:pPr>
      <w:r>
        <w:rPr>
          <w:rFonts w:asciiTheme="majorHAnsi" w:eastAsia="Calibri" w:hAnsiTheme="majorHAnsi" w:cstheme="majorHAnsi"/>
          <w:color w:val="FFFFFF" w:themeColor="background1"/>
          <w:sz w:val="24"/>
          <w:szCs w:val="24"/>
          <w:lang w:val="en-GB"/>
        </w:rPr>
        <w:t xml:space="preserve"> </w:t>
      </w:r>
    </w:p>
    <w:p w:rsidR="00E96343" w:rsidRDefault="00E96343">
      <w:pPr>
        <w:rPr>
          <w:rFonts w:asciiTheme="majorHAnsi" w:eastAsia="Calibri" w:hAnsiTheme="majorHAnsi" w:cstheme="majorHAnsi"/>
          <w:sz w:val="24"/>
          <w:szCs w:val="24"/>
          <w:lang w:val="en-GB"/>
        </w:rPr>
      </w:pPr>
    </w:p>
    <w:p w:rsidR="00E96343" w:rsidRDefault="00190EF8">
      <w:pPr>
        <w:tabs>
          <w:tab w:val="left" w:pos="3614"/>
        </w:tabs>
        <w:rPr>
          <w:rFonts w:asciiTheme="majorHAnsi" w:eastAsia="Calibri" w:hAnsiTheme="majorHAnsi" w:cstheme="majorHAnsi"/>
          <w:sz w:val="24"/>
          <w:szCs w:val="24"/>
          <w:lang w:val="en-GB"/>
        </w:rPr>
      </w:pPr>
      <w:r>
        <w:rPr>
          <w:rFonts w:asciiTheme="majorHAnsi" w:eastAsia="Calibri" w:hAnsiTheme="majorHAnsi" w:cstheme="majorHAnsi"/>
          <w:sz w:val="24"/>
          <w:szCs w:val="24"/>
          <w:lang w:val="en-GB"/>
        </w:rPr>
        <w:lastRenderedPageBreak/>
        <w:tab/>
      </w:r>
    </w:p>
    <w:sdt>
      <w:sdtPr>
        <w:rPr>
          <w:rFonts w:asciiTheme="minorHAnsi" w:eastAsiaTheme="minorHAnsi" w:hAnsiTheme="minorHAnsi" w:cstheme="majorHAnsi"/>
          <w:color w:val="auto"/>
          <w:sz w:val="22"/>
          <w:szCs w:val="22"/>
          <w:lang w:val="en-GB" w:eastAsia="en-US"/>
          <w14:ligatures w14:val="standardContextual"/>
        </w:rPr>
        <w:id w:val="1023974323"/>
        <w:docPartObj>
          <w:docPartGallery w:val="Table of Contents"/>
          <w:docPartUnique/>
        </w:docPartObj>
      </w:sdtPr>
      <w:sdtEndPr/>
      <w:sdtContent>
        <w:p w:rsidR="00E96343" w:rsidRDefault="00190EF8">
          <w:pPr>
            <w:pStyle w:val="En-ttedetabledesmatires"/>
            <w:rPr>
              <w:rFonts w:cstheme="majorHAnsi"/>
              <w:lang w:val="en-GB"/>
            </w:rPr>
          </w:pPr>
          <w:r>
            <w:rPr>
              <w:rFonts w:cstheme="majorHAnsi"/>
              <w:lang w:val="en-GB"/>
            </w:rPr>
            <w:t>Table of contents</w:t>
          </w:r>
        </w:p>
        <w:p w:rsidR="00E96343" w:rsidRDefault="00190EF8">
          <w:pPr>
            <w:pStyle w:val="TM1"/>
            <w:tabs>
              <w:tab w:val="right" w:leader="dot" w:pos="10536"/>
            </w:tabs>
            <w:rPr>
              <w:rFonts w:eastAsiaTheme="minorEastAsia"/>
              <w:b w:val="0"/>
              <w:color w:val="auto"/>
              <w:lang w:eastAsia="fr-FR"/>
              <w14:ligatures w14:val="none"/>
            </w:rPr>
          </w:pPr>
          <w:r>
            <w:rPr>
              <w:rFonts w:asciiTheme="majorHAnsi" w:hAnsiTheme="majorHAnsi" w:cstheme="majorHAnsi"/>
              <w:lang w:val="en-GB"/>
            </w:rPr>
            <w:fldChar w:fldCharType="begin"/>
          </w:r>
          <w:r>
            <w:rPr>
              <w:rFonts w:asciiTheme="majorHAnsi" w:hAnsiTheme="majorHAnsi" w:cstheme="majorHAnsi"/>
              <w:lang w:val="en-GB"/>
            </w:rPr>
            <w:instrText xml:space="preserve"> TOC \o "1-3" \h \z \u </w:instrText>
          </w:r>
          <w:r>
            <w:rPr>
              <w:rFonts w:asciiTheme="majorHAnsi" w:hAnsiTheme="majorHAnsi" w:cstheme="majorHAnsi"/>
              <w:lang w:val="en-GB"/>
            </w:rPr>
            <w:fldChar w:fldCharType="separate"/>
          </w:r>
          <w:hyperlink w:anchor="_Toc210376481" w:tooltip="#_Toc210376481" w:history="1">
            <w:r>
              <w:rPr>
                <w:rStyle w:val="Lienhypertexte"/>
                <w:rFonts w:cstheme="majorHAnsi"/>
                <w:lang w:val="en-GB"/>
              </w:rPr>
              <w:t>1.</w:t>
            </w:r>
            <w:r>
              <w:rPr>
                <w:rFonts w:eastAsiaTheme="minorEastAsia"/>
                <w:b w:val="0"/>
                <w:color w:val="auto"/>
                <w:lang w:eastAsia="fr-FR"/>
                <w14:ligatures w14:val="none"/>
              </w:rPr>
              <w:tab/>
            </w:r>
            <w:r>
              <w:rPr>
                <w:rStyle w:val="Lienhypertexte"/>
                <w:rFonts w:cstheme="majorHAnsi"/>
                <w:lang w:val="en-GB"/>
              </w:rPr>
              <w:t>Ifremer presentation</w:t>
            </w:r>
            <w:r>
              <w:tab/>
            </w:r>
            <w:r>
              <w:fldChar w:fldCharType="begin"/>
            </w:r>
            <w:r>
              <w:instrText xml:space="preserve"> PAGEREF _Toc210376481 \h </w:instrText>
            </w:r>
            <w:r>
              <w:fldChar w:fldCharType="separate"/>
            </w:r>
            <w:r>
              <w:t>4</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482" w:tooltip="#_Toc210376482" w:history="1">
            <w:r>
              <w:rPr>
                <w:rStyle w:val="Lienhypertexte"/>
                <w:rFonts w:cstheme="majorHAnsi"/>
                <w:lang w:val="en-GB"/>
              </w:rPr>
              <w:t>2.</w:t>
            </w:r>
            <w:r>
              <w:rPr>
                <w:rFonts w:eastAsiaTheme="minorEastAsia"/>
                <w:b w:val="0"/>
                <w:color w:val="auto"/>
                <w:lang w:eastAsia="fr-FR"/>
                <w14:ligatures w14:val="none"/>
              </w:rPr>
              <w:tab/>
            </w:r>
            <w:r>
              <w:rPr>
                <w:rStyle w:val="Lienhypertexte"/>
                <w:rFonts w:cstheme="majorHAnsi"/>
                <w:lang w:val="en-GB"/>
              </w:rPr>
              <w:t>Proje</w:t>
            </w:r>
            <w:r>
              <w:rPr>
                <w:rStyle w:val="Lienhypertexte"/>
                <w:rFonts w:cstheme="majorHAnsi"/>
                <w:lang w:val="en-GB"/>
              </w:rPr>
              <w:t>ct overview</w:t>
            </w:r>
            <w:r>
              <w:tab/>
            </w:r>
            <w:r>
              <w:fldChar w:fldCharType="begin"/>
            </w:r>
            <w:r>
              <w:instrText xml:space="preserve"> PAGEREF _Toc210376482 \h </w:instrText>
            </w:r>
            <w:r>
              <w:fldChar w:fldCharType="separate"/>
            </w:r>
            <w:r>
              <w:t>4</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483" w:tooltip="#_Toc210376483" w:history="1">
            <w:r>
              <w:rPr>
                <w:rStyle w:val="Lienhypertexte"/>
                <w:rFonts w:cstheme="majorHAnsi"/>
                <w:lang w:val="en-GB"/>
              </w:rPr>
              <w:t>3.</w:t>
            </w:r>
            <w:r>
              <w:rPr>
                <w:rFonts w:eastAsiaTheme="minorEastAsia"/>
                <w:b w:val="0"/>
                <w:color w:val="auto"/>
                <w:lang w:eastAsia="fr-FR"/>
                <w14:ligatures w14:val="none"/>
              </w:rPr>
              <w:tab/>
            </w:r>
            <w:r>
              <w:rPr>
                <w:rStyle w:val="Lienhypertexte"/>
                <w:rFonts w:cstheme="majorHAnsi"/>
                <w:lang w:val="en-GB"/>
              </w:rPr>
              <w:t>Tender framework</w:t>
            </w:r>
            <w:r>
              <w:tab/>
            </w:r>
            <w:r>
              <w:fldChar w:fldCharType="begin"/>
            </w:r>
            <w:r>
              <w:instrText xml:space="preserve"> PAGEREF _Toc210376483 \h </w:instrText>
            </w:r>
            <w:r>
              <w:fldChar w:fldCharType="separate"/>
            </w:r>
            <w:r>
              <w:t>5</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84" w:tooltip="#_Toc210376484" w:history="1">
            <w:r>
              <w:rPr>
                <w:rStyle w:val="Lienhypertexte"/>
                <w:rFonts w:cstheme="majorHAnsi"/>
                <w:lang w:val="en-GB"/>
              </w:rPr>
              <w:t>3.1.</w:t>
            </w:r>
            <w:r>
              <w:rPr>
                <w:rFonts w:eastAsiaTheme="minorEastAsia"/>
                <w:b w:val="0"/>
                <w:color w:val="auto"/>
                <w:lang w:eastAsia="fr-FR"/>
                <w14:ligatures w14:val="none"/>
              </w:rPr>
              <w:tab/>
            </w:r>
            <w:r>
              <w:rPr>
                <w:rStyle w:val="Lienhypertexte"/>
                <w:rFonts w:cstheme="majorHAnsi"/>
                <w:lang w:val="en-GB"/>
              </w:rPr>
              <w:t>Justification for using the negotiation procedure</w:t>
            </w:r>
            <w:r>
              <w:tab/>
            </w:r>
            <w:r>
              <w:fldChar w:fldCharType="begin"/>
            </w:r>
            <w:r>
              <w:instrText xml:space="preserve"> PAGEREF _Toc210376484 \h </w:instrText>
            </w:r>
            <w:r>
              <w:fldChar w:fldCharType="separate"/>
            </w:r>
            <w:r>
              <w:t>5</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85" w:tooltip="#_Toc210376485" w:history="1">
            <w:r>
              <w:rPr>
                <w:rStyle w:val="Lienhypertexte"/>
                <w:rFonts w:cstheme="majorHAnsi"/>
                <w:lang w:val="en-GB"/>
              </w:rPr>
              <w:t>3.2.</w:t>
            </w:r>
            <w:r>
              <w:rPr>
                <w:rFonts w:eastAsiaTheme="minorEastAsia"/>
                <w:b w:val="0"/>
                <w:color w:val="auto"/>
                <w:lang w:eastAsia="fr-FR"/>
                <w14:ligatures w14:val="none"/>
              </w:rPr>
              <w:tab/>
            </w:r>
            <w:r>
              <w:rPr>
                <w:rStyle w:val="Lienhypertexte"/>
                <w:rFonts w:cstheme="majorHAnsi"/>
                <w:lang w:val="en-GB"/>
              </w:rPr>
              <w:t>Allotment</w:t>
            </w:r>
            <w:r>
              <w:tab/>
            </w:r>
            <w:r>
              <w:fldChar w:fldCharType="begin"/>
            </w:r>
            <w:r>
              <w:instrText xml:space="preserve"> PAGEREF _Toc210376485 \h </w:instrText>
            </w:r>
            <w:r>
              <w:fldChar w:fldCharType="separate"/>
            </w:r>
            <w:r>
              <w:t>5</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86" w:tooltip="#_Toc210376486" w:history="1">
            <w:r>
              <w:rPr>
                <w:rStyle w:val="Lienhypertexte"/>
                <w:rFonts w:cstheme="majorHAnsi"/>
                <w:lang w:val="en-GB"/>
              </w:rPr>
              <w:t>3.3.</w:t>
            </w:r>
            <w:r>
              <w:rPr>
                <w:rFonts w:eastAsiaTheme="minorEastAsia"/>
                <w:b w:val="0"/>
                <w:color w:val="auto"/>
                <w:lang w:eastAsia="fr-FR"/>
                <w14:ligatures w14:val="none"/>
              </w:rPr>
              <w:tab/>
            </w:r>
            <w:r>
              <w:rPr>
                <w:rStyle w:val="Lienhypertexte"/>
                <w:rFonts w:cstheme="majorHAnsi"/>
                <w:lang w:val="en-GB"/>
              </w:rPr>
              <w:t>Variants</w:t>
            </w:r>
            <w:r>
              <w:tab/>
            </w:r>
            <w:r>
              <w:fldChar w:fldCharType="begin"/>
            </w:r>
            <w:r>
              <w:instrText xml:space="preserve"> PAGEREF _Toc210376486 \h </w:instrText>
            </w:r>
            <w:r>
              <w:fldChar w:fldCharType="separate"/>
            </w:r>
            <w:r>
              <w:t>5</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87" w:tooltip="#_Toc210376487" w:history="1">
            <w:r>
              <w:rPr>
                <w:rStyle w:val="Lienhypertexte"/>
                <w:rFonts w:cstheme="majorHAnsi"/>
                <w:lang w:val="en-GB"/>
              </w:rPr>
              <w:t>3.4.</w:t>
            </w:r>
            <w:r>
              <w:rPr>
                <w:rFonts w:eastAsiaTheme="minorEastAsia"/>
                <w:b w:val="0"/>
                <w:color w:val="auto"/>
                <w:lang w:eastAsia="fr-FR"/>
                <w14:ligatures w14:val="none"/>
              </w:rPr>
              <w:tab/>
            </w:r>
            <w:r>
              <w:rPr>
                <w:rStyle w:val="Lienhypertexte"/>
                <w:rFonts w:cstheme="majorHAnsi"/>
                <w:lang w:val="en-GB"/>
              </w:rPr>
              <w:t>Grouping</w:t>
            </w:r>
            <w:r>
              <w:tab/>
            </w:r>
            <w:r>
              <w:fldChar w:fldCharType="begin"/>
            </w:r>
            <w:r>
              <w:instrText xml:space="preserve"> PAGEREF _Toc210376487 \h </w:instrText>
            </w:r>
            <w:r>
              <w:fldChar w:fldCharType="separate"/>
            </w:r>
            <w:r>
              <w:t>5</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88" w:tooltip="#_Toc210376488" w:history="1">
            <w:r>
              <w:rPr>
                <w:rStyle w:val="Lienhypertexte"/>
                <w:rFonts w:cstheme="majorHAnsi"/>
                <w:lang w:val="en-GB"/>
              </w:rPr>
              <w:t>3.5.</w:t>
            </w:r>
            <w:r>
              <w:rPr>
                <w:rFonts w:eastAsiaTheme="minorEastAsia"/>
                <w:b w:val="0"/>
                <w:color w:val="auto"/>
                <w:lang w:eastAsia="fr-FR"/>
                <w14:ligatures w14:val="none"/>
              </w:rPr>
              <w:tab/>
            </w:r>
            <w:r>
              <w:rPr>
                <w:rStyle w:val="Lienhypertexte"/>
                <w:rFonts w:cstheme="majorHAnsi"/>
                <w:lang w:val="en-GB"/>
              </w:rPr>
              <w:t>Subcontracting</w:t>
            </w:r>
            <w:r>
              <w:tab/>
            </w:r>
            <w:r>
              <w:fldChar w:fldCharType="begin"/>
            </w:r>
            <w:r>
              <w:instrText xml:space="preserve"> PAGEREF _Toc210376488 \h </w:instrText>
            </w:r>
            <w:r>
              <w:fldChar w:fldCharType="separate"/>
            </w:r>
            <w:r>
              <w:t>6</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489" w:tooltip="#_Toc210376489" w:history="1">
            <w:r>
              <w:rPr>
                <w:rStyle w:val="Lienhypertexte"/>
                <w:rFonts w:cstheme="majorHAnsi"/>
                <w:lang w:val="en-GB"/>
              </w:rPr>
              <w:t>4.</w:t>
            </w:r>
            <w:r>
              <w:rPr>
                <w:rFonts w:eastAsiaTheme="minorEastAsia"/>
                <w:b w:val="0"/>
                <w:color w:val="auto"/>
                <w:lang w:eastAsia="fr-FR"/>
                <w14:ligatures w14:val="none"/>
              </w:rPr>
              <w:tab/>
            </w:r>
            <w:r>
              <w:rPr>
                <w:rStyle w:val="Lienhypertexte"/>
                <w:rFonts w:cstheme="majorHAnsi"/>
                <w:lang w:val="en-GB"/>
              </w:rPr>
              <w:t>Terms of contract</w:t>
            </w:r>
            <w:r>
              <w:tab/>
            </w:r>
            <w:r>
              <w:fldChar w:fldCharType="begin"/>
            </w:r>
            <w:r>
              <w:instrText xml:space="preserve"> PAGEREF _Toc210376489 \h </w:instrText>
            </w:r>
            <w:r>
              <w:fldChar w:fldCharType="separate"/>
            </w:r>
            <w:r>
              <w:t>6</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0" w:tooltip="#_Toc210376490" w:history="1">
            <w:r>
              <w:rPr>
                <w:rStyle w:val="Lienhypertexte"/>
                <w:rFonts w:cstheme="majorHAnsi"/>
                <w:lang w:val="en-GB"/>
              </w:rPr>
              <w:t>4.1.</w:t>
            </w:r>
            <w:r>
              <w:rPr>
                <w:rFonts w:eastAsiaTheme="minorEastAsia"/>
                <w:b w:val="0"/>
                <w:color w:val="auto"/>
                <w:lang w:eastAsia="fr-FR"/>
                <w14:ligatures w14:val="none"/>
              </w:rPr>
              <w:tab/>
            </w:r>
            <w:r>
              <w:rPr>
                <w:rStyle w:val="Lienhypertexte"/>
                <w:rFonts w:cstheme="majorHAnsi"/>
                <w:lang w:val="en-GB"/>
              </w:rPr>
              <w:t>Type of contract</w:t>
            </w:r>
            <w:r>
              <w:tab/>
            </w:r>
            <w:r>
              <w:fldChar w:fldCharType="begin"/>
            </w:r>
            <w:r>
              <w:instrText xml:space="preserve"> PAGEREF _Toc210376490 \h </w:instrText>
            </w:r>
            <w:r>
              <w:fldChar w:fldCharType="separate"/>
            </w:r>
            <w:r>
              <w:t>6</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1" w:tooltip="#_Toc210376491" w:history="1">
            <w:r>
              <w:rPr>
                <w:rStyle w:val="Lienhypertexte"/>
                <w:rFonts w:cstheme="majorHAnsi"/>
                <w:lang w:val="en-GB"/>
              </w:rPr>
              <w:t>4.2.</w:t>
            </w:r>
            <w:r>
              <w:rPr>
                <w:rFonts w:eastAsiaTheme="minorEastAsia"/>
                <w:b w:val="0"/>
                <w:color w:val="auto"/>
                <w:lang w:eastAsia="fr-FR"/>
                <w14:ligatures w14:val="none"/>
              </w:rPr>
              <w:tab/>
            </w:r>
            <w:r>
              <w:rPr>
                <w:rStyle w:val="Lienhypertexte"/>
                <w:rFonts w:cstheme="majorHAnsi"/>
                <w:lang w:val="en-GB"/>
              </w:rPr>
              <w:t>CPV classification</w:t>
            </w:r>
            <w:r>
              <w:tab/>
            </w:r>
            <w:r>
              <w:fldChar w:fldCharType="begin"/>
            </w:r>
            <w:r>
              <w:instrText xml:space="preserve"> PAGEREF _Toc210376491 \h </w:instrText>
            </w:r>
            <w:r>
              <w:fldChar w:fldCharType="separate"/>
            </w:r>
            <w:r>
              <w:t>6</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2" w:tooltip="#_Toc210376492" w:history="1">
            <w:r>
              <w:rPr>
                <w:rStyle w:val="Lienhypertexte"/>
                <w:rFonts w:cstheme="majorHAnsi"/>
                <w:lang w:val="en-GB"/>
              </w:rPr>
              <w:t>4.3.</w:t>
            </w:r>
            <w:r>
              <w:rPr>
                <w:rFonts w:eastAsiaTheme="minorEastAsia"/>
                <w:b w:val="0"/>
                <w:color w:val="auto"/>
                <w:lang w:eastAsia="fr-FR"/>
                <w14:ligatures w14:val="none"/>
              </w:rPr>
              <w:tab/>
            </w:r>
            <w:r>
              <w:rPr>
                <w:rStyle w:val="Lienhypertexte"/>
                <w:rFonts w:cstheme="majorHAnsi"/>
                <w:lang w:val="en-GB"/>
              </w:rPr>
              <w:t>CCAG</w:t>
            </w:r>
            <w:r>
              <w:tab/>
            </w:r>
            <w:r>
              <w:fldChar w:fldCharType="begin"/>
            </w:r>
            <w:r>
              <w:instrText xml:space="preserve"> PAGEREF _Toc210376492</w:instrText>
            </w:r>
            <w:r>
              <w:instrText xml:space="preserve"> \h </w:instrText>
            </w:r>
            <w:r>
              <w:fldChar w:fldCharType="separate"/>
            </w:r>
            <w:r>
              <w:t>6</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3" w:tooltip="#_Toc210376493" w:history="1">
            <w:r>
              <w:rPr>
                <w:rStyle w:val="Lienhypertexte"/>
                <w:rFonts w:cstheme="majorHAnsi"/>
                <w:lang w:val="en-GB"/>
              </w:rPr>
              <w:t>4.4.</w:t>
            </w:r>
            <w:r>
              <w:rPr>
                <w:rFonts w:eastAsiaTheme="minorEastAsia"/>
                <w:b w:val="0"/>
                <w:color w:val="auto"/>
                <w:lang w:eastAsia="fr-FR"/>
                <w14:ligatures w14:val="none"/>
              </w:rPr>
              <w:tab/>
            </w:r>
            <w:r>
              <w:rPr>
                <w:rStyle w:val="Lienhypertexte"/>
                <w:rFonts w:cstheme="majorHAnsi"/>
                <w:lang w:val="en-GB"/>
              </w:rPr>
              <w:t>Technical phases</w:t>
            </w:r>
            <w:r>
              <w:tab/>
            </w:r>
            <w:r>
              <w:fldChar w:fldCharType="begin"/>
            </w:r>
            <w:r>
              <w:instrText xml:space="preserve"> PAGEREF _Toc210376493 \h </w:instrText>
            </w:r>
            <w:r>
              <w:fldChar w:fldCharType="separate"/>
            </w:r>
            <w:r>
              <w:t>7</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4" w:tooltip="#_Toc210376494" w:history="1">
            <w:r>
              <w:rPr>
                <w:rStyle w:val="Lienhypertexte"/>
                <w:rFonts w:cstheme="majorHAnsi"/>
                <w:lang w:val="en-GB"/>
              </w:rPr>
              <w:t>4.5.</w:t>
            </w:r>
            <w:r>
              <w:rPr>
                <w:rFonts w:eastAsiaTheme="minorEastAsia"/>
                <w:b w:val="0"/>
                <w:color w:val="auto"/>
                <w:lang w:eastAsia="fr-FR"/>
                <w14:ligatures w14:val="none"/>
              </w:rPr>
              <w:tab/>
            </w:r>
            <w:r>
              <w:rPr>
                <w:rStyle w:val="Lienhypertexte"/>
                <w:rFonts w:cstheme="majorHAnsi"/>
                <w:lang w:val="en-GB"/>
              </w:rPr>
              <w:t>Contract form</w:t>
            </w:r>
            <w:r>
              <w:tab/>
            </w:r>
            <w:r>
              <w:fldChar w:fldCharType="begin"/>
            </w:r>
            <w:r>
              <w:instrText xml:space="preserve"> PAGEREF _Toc210376494 \h </w:instrText>
            </w:r>
            <w:r>
              <w:fldChar w:fldCharType="separate"/>
            </w:r>
            <w:r>
              <w:t>7</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5" w:tooltip="#_Toc210376495" w:history="1">
            <w:r>
              <w:rPr>
                <w:rStyle w:val="Lienhypertexte"/>
                <w:rFonts w:cstheme="majorHAnsi"/>
                <w:lang w:val="en-GB"/>
              </w:rPr>
              <w:t>4.6.</w:t>
            </w:r>
            <w:r>
              <w:rPr>
                <w:rFonts w:eastAsiaTheme="minorEastAsia"/>
                <w:b w:val="0"/>
                <w:color w:val="auto"/>
                <w:lang w:eastAsia="fr-FR"/>
                <w14:ligatures w14:val="none"/>
              </w:rPr>
              <w:tab/>
            </w:r>
            <w:r>
              <w:rPr>
                <w:rStyle w:val="Lienhypertexte"/>
                <w:rFonts w:cstheme="majorHAnsi"/>
                <w:lang w:val="en-GB"/>
              </w:rPr>
              <w:t>Amount of the framework agreement</w:t>
            </w:r>
            <w:r>
              <w:tab/>
            </w:r>
            <w:r>
              <w:fldChar w:fldCharType="begin"/>
            </w:r>
            <w:r>
              <w:instrText xml:space="preserve"> PAGEREF </w:instrText>
            </w:r>
            <w:r>
              <w:instrText xml:space="preserve">_Toc210376495 \h </w:instrText>
            </w:r>
            <w:r>
              <w:fldChar w:fldCharType="separate"/>
            </w:r>
            <w:r>
              <w:t>7</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6" w:tooltip="#_Toc210376496" w:history="1">
            <w:r>
              <w:rPr>
                <w:rStyle w:val="Lienhypertexte"/>
                <w:rFonts w:cstheme="majorHAnsi"/>
                <w:lang w:val="en-GB"/>
              </w:rPr>
              <w:t>4.7.</w:t>
            </w:r>
            <w:r>
              <w:rPr>
                <w:rFonts w:eastAsiaTheme="minorEastAsia"/>
                <w:b w:val="0"/>
                <w:color w:val="auto"/>
                <w:lang w:eastAsia="fr-FR"/>
                <w14:ligatures w14:val="none"/>
              </w:rPr>
              <w:tab/>
            </w:r>
            <w:r>
              <w:rPr>
                <w:rStyle w:val="Lienhypertexte"/>
                <w:rFonts w:cstheme="majorHAnsi"/>
                <w:lang w:val="en-GB"/>
              </w:rPr>
              <w:t>Duration of the framework</w:t>
            </w:r>
            <w:r>
              <w:tab/>
            </w:r>
            <w:r>
              <w:fldChar w:fldCharType="begin"/>
            </w:r>
            <w:r>
              <w:instrText xml:space="preserve"> PAGEREF _Toc210376496 \h </w:instrText>
            </w:r>
            <w:r>
              <w:fldChar w:fldCharType="separate"/>
            </w:r>
            <w:r>
              <w:t>7</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7" w:tooltip="#_Toc210376497" w:history="1">
            <w:r>
              <w:rPr>
                <w:rStyle w:val="Lienhypertexte"/>
                <w:rFonts w:cstheme="majorHAnsi"/>
                <w:lang w:val="en-GB"/>
              </w:rPr>
              <w:t>4.8.</w:t>
            </w:r>
            <w:r>
              <w:rPr>
                <w:rFonts w:eastAsiaTheme="minorEastAsia"/>
                <w:b w:val="0"/>
                <w:color w:val="auto"/>
                <w:lang w:eastAsia="fr-FR"/>
                <w14:ligatures w14:val="none"/>
              </w:rPr>
              <w:tab/>
            </w:r>
            <w:r>
              <w:rPr>
                <w:rStyle w:val="Lienhypertexte"/>
                <w:rFonts w:cstheme="majorHAnsi"/>
                <w:lang w:val="en-GB"/>
              </w:rPr>
              <w:t>Optional additional services</w:t>
            </w:r>
            <w:r>
              <w:tab/>
            </w:r>
            <w:r>
              <w:fldChar w:fldCharType="begin"/>
            </w:r>
            <w:r>
              <w:instrText xml:space="preserve"> PAGEREF _Toc210376497 \h </w:instrText>
            </w:r>
            <w:r>
              <w:fldChar w:fldCharType="separate"/>
            </w:r>
            <w:r>
              <w:t>7</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498" w:tooltip="#_Toc210376498" w:history="1">
            <w:r>
              <w:rPr>
                <w:rStyle w:val="Lienhypertexte"/>
                <w:rFonts w:cstheme="majorHAnsi"/>
                <w:lang w:val="en-GB"/>
              </w:rPr>
              <w:t>4.9.</w:t>
            </w:r>
            <w:r>
              <w:rPr>
                <w:rFonts w:eastAsiaTheme="minorEastAsia"/>
                <w:b w:val="0"/>
                <w:color w:val="auto"/>
                <w:lang w:eastAsia="fr-FR"/>
                <w14:ligatures w14:val="none"/>
              </w:rPr>
              <w:tab/>
            </w:r>
            <w:r>
              <w:rPr>
                <w:rStyle w:val="Lienhypertexte"/>
                <w:rFonts w:cstheme="majorHAnsi"/>
                <w:lang w:val="en-GB"/>
              </w:rPr>
              <w:t>Alternative proposals</w:t>
            </w:r>
            <w:r>
              <w:tab/>
            </w:r>
            <w:r>
              <w:fldChar w:fldCharType="begin"/>
            </w:r>
            <w:r>
              <w:instrText xml:space="preserve"> PAGEREF _Toc210376498 \h </w:instrText>
            </w:r>
            <w:r>
              <w:fldChar w:fldCharType="separate"/>
            </w:r>
            <w:r>
              <w:t>7</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499" w:tooltip="#_Toc210376499" w:history="1">
            <w:r>
              <w:rPr>
                <w:rStyle w:val="Lienhypertexte"/>
                <w:rFonts w:cstheme="majorHAnsi"/>
                <w:lang w:val="en-GB"/>
              </w:rPr>
              <w:t>5.</w:t>
            </w:r>
            <w:r>
              <w:rPr>
                <w:rFonts w:eastAsiaTheme="minorEastAsia"/>
                <w:b w:val="0"/>
                <w:color w:val="auto"/>
                <w:lang w:eastAsia="fr-FR"/>
                <w14:ligatures w14:val="none"/>
              </w:rPr>
              <w:tab/>
            </w:r>
            <w:r>
              <w:rPr>
                <w:rStyle w:val="Lienhypertexte"/>
                <w:rFonts w:cstheme="majorHAnsi"/>
                <w:lang w:val="en-GB"/>
              </w:rPr>
              <w:t>Conduct of the competitive procedure with negotiations</w:t>
            </w:r>
            <w:r>
              <w:tab/>
            </w:r>
            <w:r>
              <w:fldChar w:fldCharType="begin"/>
            </w:r>
            <w:r>
              <w:instrText xml:space="preserve"> PAGEREF _Toc210376499 \h </w:instrText>
            </w:r>
            <w:r>
              <w:fldChar w:fldCharType="separate"/>
            </w:r>
            <w:r>
              <w:t>7</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500" w:tooltip="#_Toc210376500" w:history="1">
            <w:r>
              <w:rPr>
                <w:rStyle w:val="Lienhypertexte"/>
                <w:rFonts w:cstheme="majorHAnsi"/>
                <w:lang w:val="en-GB"/>
              </w:rPr>
              <w:t>5.1.</w:t>
            </w:r>
            <w:r>
              <w:rPr>
                <w:rFonts w:eastAsiaTheme="minorEastAsia"/>
                <w:b w:val="0"/>
                <w:color w:val="auto"/>
                <w:lang w:eastAsia="fr-FR"/>
                <w14:ligatures w14:val="none"/>
              </w:rPr>
              <w:tab/>
            </w:r>
            <w:r>
              <w:rPr>
                <w:rStyle w:val="Lienhypertexte"/>
                <w:rFonts w:cstheme="majorHAnsi"/>
                <w:lang w:val="en-GB"/>
              </w:rPr>
              <w:t>Applica</w:t>
            </w:r>
            <w:r>
              <w:rPr>
                <w:rStyle w:val="Lienhypertexte"/>
                <w:rFonts w:cstheme="majorHAnsi"/>
                <w:lang w:val="en-GB"/>
              </w:rPr>
              <w:t>tion Phase</w:t>
            </w:r>
            <w:r>
              <w:tab/>
            </w:r>
            <w:r>
              <w:fldChar w:fldCharType="begin"/>
            </w:r>
            <w:r>
              <w:instrText xml:space="preserve"> PAGEREF _Toc210376500 \h </w:instrText>
            </w:r>
            <w:r>
              <w:fldChar w:fldCharType="separate"/>
            </w:r>
            <w:r>
              <w:t>7</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501" w:tooltip="#_Toc210376501" w:history="1">
            <w:r>
              <w:rPr>
                <w:rStyle w:val="Lienhypertexte"/>
                <w:rFonts w:cstheme="majorHAnsi"/>
                <w:lang w:val="en-GB"/>
              </w:rPr>
              <w:t>5.2.</w:t>
            </w:r>
            <w:r>
              <w:rPr>
                <w:rFonts w:eastAsiaTheme="minorEastAsia"/>
                <w:b w:val="0"/>
                <w:color w:val="auto"/>
                <w:lang w:eastAsia="fr-FR"/>
                <w14:ligatures w14:val="none"/>
              </w:rPr>
              <w:tab/>
            </w:r>
            <w:r>
              <w:rPr>
                <w:rStyle w:val="Lienhypertexte"/>
                <w:rFonts w:cstheme="majorHAnsi"/>
                <w:lang w:val="en-GB"/>
              </w:rPr>
              <w:t>Bidding Phase</w:t>
            </w:r>
            <w:r>
              <w:tab/>
            </w:r>
            <w:r>
              <w:fldChar w:fldCharType="begin"/>
            </w:r>
            <w:r>
              <w:instrText xml:space="preserve"> PAGEREF _Toc210376501 \h </w:instrText>
            </w:r>
            <w:r>
              <w:fldChar w:fldCharType="separate"/>
            </w:r>
            <w:r>
              <w:t>8</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502" w:tooltip="#_Toc210376502" w:history="1">
            <w:r>
              <w:rPr>
                <w:rStyle w:val="Lienhypertexte"/>
                <w:rFonts w:cstheme="majorHAnsi"/>
                <w:lang w:val="en-GB"/>
              </w:rPr>
              <w:t>6.</w:t>
            </w:r>
            <w:r>
              <w:rPr>
                <w:rFonts w:eastAsiaTheme="minorEastAsia"/>
                <w:b w:val="0"/>
                <w:color w:val="auto"/>
                <w:lang w:eastAsia="fr-FR"/>
                <w14:ligatures w14:val="none"/>
              </w:rPr>
              <w:tab/>
            </w:r>
            <w:r>
              <w:rPr>
                <w:rStyle w:val="Lienhypertexte"/>
                <w:rFonts w:cstheme="majorHAnsi"/>
                <w:lang w:val="en-GB"/>
              </w:rPr>
              <w:t>Consultation file – application phase</w:t>
            </w:r>
            <w:r>
              <w:tab/>
            </w:r>
            <w:r>
              <w:fldChar w:fldCharType="begin"/>
            </w:r>
            <w:r>
              <w:instrText xml:space="preserve"> PAGEREF _Toc210376502 \h </w:instrText>
            </w:r>
            <w:r>
              <w:fldChar w:fldCharType="separate"/>
            </w:r>
            <w:r>
              <w:t>9</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503" w:tooltip="#_Toc210376503" w:history="1">
            <w:r>
              <w:rPr>
                <w:rStyle w:val="Lienhypertexte"/>
                <w:rFonts w:cstheme="majorHAnsi"/>
                <w:lang w:val="en-GB"/>
              </w:rPr>
              <w:t>6.1.</w:t>
            </w:r>
            <w:r>
              <w:rPr>
                <w:rFonts w:eastAsiaTheme="minorEastAsia"/>
                <w:b w:val="0"/>
                <w:color w:val="auto"/>
                <w:lang w:eastAsia="fr-FR"/>
                <w14:ligatures w14:val="none"/>
              </w:rPr>
              <w:tab/>
            </w:r>
            <w:r>
              <w:rPr>
                <w:rStyle w:val="Lienhypertexte"/>
                <w:rFonts w:cstheme="majorHAnsi"/>
                <w:lang w:val="en-GB"/>
              </w:rPr>
              <w:t>Consultation file content</w:t>
            </w:r>
            <w:r>
              <w:tab/>
            </w:r>
            <w:r>
              <w:fldChar w:fldCharType="begin"/>
            </w:r>
            <w:r>
              <w:instrText xml:space="preserve"> PAGEREF _Toc210376503 \h </w:instrText>
            </w:r>
            <w:r>
              <w:fldChar w:fldCharType="separate"/>
            </w:r>
            <w:r>
              <w:t>9</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504" w:tooltip="#_Toc210376504" w:history="1">
            <w:r>
              <w:rPr>
                <w:rStyle w:val="Lienhypertexte"/>
                <w:rFonts w:cstheme="majorHAnsi"/>
                <w:lang w:val="en-GB"/>
              </w:rPr>
              <w:t>6.2.</w:t>
            </w:r>
            <w:r>
              <w:rPr>
                <w:rFonts w:eastAsiaTheme="minorEastAsia"/>
                <w:b w:val="0"/>
                <w:color w:val="auto"/>
                <w:lang w:eastAsia="fr-FR"/>
                <w14:ligatures w14:val="none"/>
              </w:rPr>
              <w:tab/>
            </w:r>
            <w:r>
              <w:rPr>
                <w:rStyle w:val="Lienhypertexte"/>
                <w:rFonts w:cstheme="majorHAnsi"/>
                <w:lang w:val="en-GB"/>
              </w:rPr>
              <w:t>How to receive the consultation file and to submit your bid – application phase</w:t>
            </w:r>
            <w:r>
              <w:tab/>
            </w:r>
            <w:r>
              <w:fldChar w:fldCharType="begin"/>
            </w:r>
            <w:r>
              <w:instrText xml:space="preserve"> PAGEREF _Toc210376504 \h </w:instrText>
            </w:r>
            <w:r>
              <w:fldChar w:fldCharType="separate"/>
            </w:r>
            <w:r>
              <w:t>9</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505" w:tooltip="#_Toc210376505" w:history="1">
            <w:r>
              <w:rPr>
                <w:rStyle w:val="Lienhypertexte"/>
                <w:rFonts w:cstheme="majorHAnsi"/>
                <w:lang w:val="en-GB"/>
              </w:rPr>
              <w:t>6.3.</w:t>
            </w:r>
            <w:r>
              <w:rPr>
                <w:rFonts w:eastAsiaTheme="minorEastAsia"/>
                <w:b w:val="0"/>
                <w:color w:val="auto"/>
                <w:lang w:eastAsia="fr-FR"/>
                <w14:ligatures w14:val="none"/>
              </w:rPr>
              <w:tab/>
            </w:r>
            <w:r>
              <w:rPr>
                <w:rStyle w:val="Lienhypertexte"/>
                <w:rFonts w:cstheme="majorHAnsi"/>
                <w:lang w:val="en-GB"/>
              </w:rPr>
              <w:t>Participation condition</w:t>
            </w:r>
            <w:r>
              <w:rPr>
                <w:rStyle w:val="Lienhypertexte"/>
                <w:rFonts w:cstheme="majorHAnsi"/>
                <w:lang w:val="en-GB"/>
              </w:rPr>
              <w:t>s</w:t>
            </w:r>
            <w:r>
              <w:tab/>
            </w:r>
            <w:r>
              <w:fldChar w:fldCharType="begin"/>
            </w:r>
            <w:r>
              <w:instrText xml:space="preserve"> PAGEREF _Toc210376505 \h </w:instrText>
            </w:r>
            <w:r>
              <w:fldChar w:fldCharType="separate"/>
            </w:r>
            <w:r>
              <w:t>10</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506" w:tooltip="#_Toc210376506" w:history="1">
            <w:r>
              <w:rPr>
                <w:rStyle w:val="Lienhypertexte"/>
                <w:rFonts w:cstheme="majorHAnsi"/>
                <w:lang w:val="en-GB"/>
              </w:rPr>
              <w:t>6.4.</w:t>
            </w:r>
            <w:r>
              <w:rPr>
                <w:rFonts w:eastAsiaTheme="minorEastAsia"/>
                <w:b w:val="0"/>
                <w:color w:val="auto"/>
                <w:lang w:eastAsia="fr-FR"/>
                <w14:ligatures w14:val="none"/>
              </w:rPr>
              <w:tab/>
            </w:r>
            <w:r>
              <w:rPr>
                <w:rStyle w:val="Lienhypertexte"/>
                <w:rFonts w:cstheme="majorHAnsi"/>
                <w:lang w:val="en-GB"/>
              </w:rPr>
              <w:t>Conflict of interest</w:t>
            </w:r>
            <w:r>
              <w:tab/>
            </w:r>
            <w:r>
              <w:fldChar w:fldCharType="begin"/>
            </w:r>
            <w:r>
              <w:instrText xml:space="preserve"> PAGEREF _Toc210376506 \h </w:instrText>
            </w:r>
            <w:r>
              <w:fldChar w:fldCharType="separate"/>
            </w:r>
            <w:r>
              <w:t>11</w:t>
            </w:r>
            <w:r>
              <w:fldChar w:fldCharType="end"/>
            </w:r>
          </w:hyperlink>
        </w:p>
        <w:p w:rsidR="00E96343" w:rsidRDefault="00190EF8">
          <w:pPr>
            <w:pStyle w:val="TM2"/>
            <w:tabs>
              <w:tab w:val="right" w:leader="dot" w:pos="10536"/>
            </w:tabs>
            <w:rPr>
              <w:rFonts w:eastAsiaTheme="minorEastAsia"/>
              <w:b w:val="0"/>
              <w:color w:val="auto"/>
              <w:lang w:eastAsia="fr-FR"/>
              <w14:ligatures w14:val="none"/>
            </w:rPr>
          </w:pPr>
          <w:hyperlink w:anchor="_Toc210376507" w:tooltip="#_Toc210376507" w:history="1">
            <w:r>
              <w:rPr>
                <w:rStyle w:val="Lienhypertexte"/>
                <w:rFonts w:cstheme="majorHAnsi"/>
                <w:lang w:val="en-GB"/>
              </w:rPr>
              <w:t>6.5.</w:t>
            </w:r>
            <w:r>
              <w:rPr>
                <w:rFonts w:eastAsiaTheme="minorEastAsia"/>
                <w:b w:val="0"/>
                <w:color w:val="auto"/>
                <w:lang w:eastAsia="fr-FR"/>
                <w14:ligatures w14:val="none"/>
              </w:rPr>
              <w:tab/>
            </w:r>
            <w:r>
              <w:rPr>
                <w:rStyle w:val="Lienhypertexte"/>
                <w:rFonts w:cstheme="majorHAnsi"/>
                <w:lang w:val="en-GB"/>
              </w:rPr>
              <w:t>Signatures</w:t>
            </w:r>
            <w:r>
              <w:tab/>
            </w:r>
            <w:r>
              <w:fldChar w:fldCharType="begin"/>
            </w:r>
            <w:r>
              <w:instrText xml:space="preserve"> PAGEREF _Toc210376507 \h </w:instrText>
            </w:r>
            <w:r>
              <w:fldChar w:fldCharType="separate"/>
            </w:r>
            <w:r>
              <w:t>11</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508" w:tooltip="#_Toc210376508" w:history="1">
            <w:r>
              <w:rPr>
                <w:rStyle w:val="Lienhypertexte"/>
                <w:rFonts w:cstheme="majorHAnsi"/>
                <w:lang w:val="en-GB"/>
              </w:rPr>
              <w:t>7.</w:t>
            </w:r>
            <w:r>
              <w:rPr>
                <w:rFonts w:eastAsiaTheme="minorEastAsia"/>
                <w:b w:val="0"/>
                <w:color w:val="auto"/>
                <w:lang w:eastAsia="fr-FR"/>
                <w14:ligatures w14:val="none"/>
              </w:rPr>
              <w:tab/>
            </w:r>
            <w:r>
              <w:rPr>
                <w:rStyle w:val="Lienhypertexte"/>
                <w:rFonts w:cstheme="majorHAnsi"/>
                <w:lang w:val="en-GB"/>
              </w:rPr>
              <w:t>Application con</w:t>
            </w:r>
            <w:r>
              <w:rPr>
                <w:rStyle w:val="Lienhypertexte"/>
                <w:rFonts w:cstheme="majorHAnsi"/>
                <w:lang w:val="en-GB"/>
              </w:rPr>
              <w:t>tent</w:t>
            </w:r>
            <w:r>
              <w:tab/>
            </w:r>
            <w:r>
              <w:fldChar w:fldCharType="begin"/>
            </w:r>
            <w:r>
              <w:instrText xml:space="preserve"> PAGEREF _Toc210376508 \h </w:instrText>
            </w:r>
            <w:r>
              <w:fldChar w:fldCharType="separate"/>
            </w:r>
            <w:r>
              <w:t>11</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509" w:tooltip="#_Toc210376509" w:history="1">
            <w:r>
              <w:rPr>
                <w:rStyle w:val="Lienhypertexte"/>
                <w:rFonts w:cstheme="majorHAnsi"/>
                <w:lang w:val="en-GB"/>
              </w:rPr>
              <w:t>8.</w:t>
            </w:r>
            <w:r>
              <w:rPr>
                <w:rFonts w:eastAsiaTheme="minorEastAsia"/>
                <w:b w:val="0"/>
                <w:color w:val="auto"/>
                <w:lang w:eastAsia="fr-FR"/>
                <w14:ligatures w14:val="none"/>
              </w:rPr>
              <w:tab/>
            </w:r>
            <w:r>
              <w:rPr>
                <w:rStyle w:val="Lienhypertexte"/>
                <w:rFonts w:cstheme="majorHAnsi"/>
                <w:lang w:val="en-GB"/>
              </w:rPr>
              <w:t>Application selection criteria</w:t>
            </w:r>
            <w:r>
              <w:tab/>
            </w:r>
            <w:r>
              <w:fldChar w:fldCharType="begin"/>
            </w:r>
            <w:r>
              <w:instrText xml:space="preserve"> PAGEREF _Toc210376509 \h </w:instrText>
            </w:r>
            <w:r>
              <w:fldChar w:fldCharType="separate"/>
            </w:r>
            <w:r>
              <w:t>12</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510" w:tooltip="#_Toc210376510" w:history="1">
            <w:r>
              <w:rPr>
                <w:rStyle w:val="Lienhypertexte"/>
                <w:rFonts w:cstheme="majorHAnsi"/>
                <w:lang w:val="en-GB"/>
              </w:rPr>
              <w:t>9.</w:t>
            </w:r>
            <w:r>
              <w:rPr>
                <w:rFonts w:eastAsiaTheme="minorEastAsia"/>
                <w:b w:val="0"/>
                <w:color w:val="auto"/>
                <w:lang w:eastAsia="fr-FR"/>
                <w14:ligatures w14:val="none"/>
              </w:rPr>
              <w:tab/>
            </w:r>
            <w:r>
              <w:rPr>
                <w:rStyle w:val="Lienhypertexte"/>
                <w:rFonts w:cstheme="majorHAnsi"/>
                <w:lang w:val="en-GB"/>
              </w:rPr>
              <w:t>Bidder selection criteria</w:t>
            </w:r>
            <w:r>
              <w:tab/>
            </w:r>
            <w:r>
              <w:fldChar w:fldCharType="begin"/>
            </w:r>
            <w:r>
              <w:instrText xml:space="preserve"> PAGEREF _Toc210376510 \h </w:instrText>
            </w:r>
            <w:r>
              <w:fldChar w:fldCharType="separate"/>
            </w:r>
            <w:r>
              <w:t>14</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511" w:tooltip="#_Toc210376511" w:history="1">
            <w:r>
              <w:rPr>
                <w:rStyle w:val="Lienhypertexte"/>
                <w:rFonts w:cstheme="majorHAnsi"/>
                <w:lang w:val="en-GB"/>
              </w:rPr>
              <w:t>10. Confidentiality</w:t>
            </w:r>
            <w:r>
              <w:tab/>
            </w:r>
            <w:r>
              <w:fldChar w:fldCharType="begin"/>
            </w:r>
            <w:r>
              <w:instrText xml:space="preserve"> PAGEREF _Toc210376511 \h </w:instrText>
            </w:r>
            <w:r>
              <w:fldChar w:fldCharType="separate"/>
            </w:r>
            <w:r>
              <w:t>14</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512" w:tooltip="#_Toc210376512" w:history="1">
            <w:r>
              <w:rPr>
                <w:rStyle w:val="Lienhypertexte"/>
                <w:rFonts w:cstheme="majorHAnsi"/>
                <w:lang w:val="en-GB"/>
              </w:rPr>
              <w:t>11. Further details</w:t>
            </w:r>
            <w:r>
              <w:tab/>
            </w:r>
            <w:r>
              <w:fldChar w:fldCharType="begin"/>
            </w:r>
            <w:r>
              <w:instrText xml:space="preserve"> PAGEREF _Toc210376512 \h </w:instrText>
            </w:r>
            <w:r>
              <w:fldChar w:fldCharType="separate"/>
            </w:r>
            <w:r>
              <w:t>14</w:t>
            </w:r>
            <w:r>
              <w:fldChar w:fldCharType="end"/>
            </w:r>
          </w:hyperlink>
        </w:p>
        <w:p w:rsidR="00E96343" w:rsidRDefault="00190EF8">
          <w:pPr>
            <w:pStyle w:val="TM1"/>
            <w:tabs>
              <w:tab w:val="right" w:leader="dot" w:pos="10536"/>
            </w:tabs>
            <w:rPr>
              <w:rFonts w:eastAsiaTheme="minorEastAsia"/>
              <w:b w:val="0"/>
              <w:color w:val="auto"/>
              <w:lang w:eastAsia="fr-FR"/>
              <w14:ligatures w14:val="none"/>
            </w:rPr>
          </w:pPr>
          <w:hyperlink w:anchor="_Toc210376513" w:tooltip="#_Toc210376513" w:history="1">
            <w:r>
              <w:rPr>
                <w:rStyle w:val="Lienhypertexte"/>
                <w:rFonts w:cstheme="majorHAnsi"/>
                <w:lang w:val="en-GB"/>
              </w:rPr>
              <w:t>12. Provisional timeline</w:t>
            </w:r>
            <w:r>
              <w:tab/>
            </w:r>
            <w:r>
              <w:fldChar w:fldCharType="begin"/>
            </w:r>
            <w:r>
              <w:instrText xml:space="preserve"> PAGEREF _Toc210376513 \h </w:instrText>
            </w:r>
            <w:r>
              <w:fldChar w:fldCharType="separate"/>
            </w:r>
            <w:r>
              <w:t>14</w:t>
            </w:r>
            <w:r>
              <w:fldChar w:fldCharType="end"/>
            </w:r>
          </w:hyperlink>
        </w:p>
        <w:p w:rsidR="00E96343" w:rsidRDefault="00190EF8">
          <w:pPr>
            <w:rPr>
              <w:rFonts w:asciiTheme="majorHAnsi" w:hAnsiTheme="majorHAnsi" w:cstheme="majorHAnsi"/>
              <w:b/>
              <w:bCs/>
              <w:lang w:val="en-GB"/>
            </w:rPr>
            <w:sectPr w:rsidR="00E96343">
              <w:pgSz w:w="11906" w:h="16838"/>
              <w:pgMar w:top="2268" w:right="680" w:bottom="851" w:left="680" w:header="709" w:footer="709" w:gutter="0"/>
              <w:cols w:space="708"/>
            </w:sectPr>
          </w:pPr>
          <w:r>
            <w:rPr>
              <w:rFonts w:asciiTheme="majorHAnsi" w:hAnsiTheme="majorHAnsi" w:cstheme="majorHAnsi"/>
              <w:b/>
              <w:bCs/>
              <w:lang w:val="en-GB"/>
            </w:rPr>
            <w:fldChar w:fldCharType="end"/>
          </w:r>
        </w:p>
      </w:sdtContent>
    </w:sdt>
    <w:p w:rsidR="00E96343" w:rsidRDefault="00190EF8">
      <w:pPr>
        <w:pStyle w:val="Titre1"/>
        <w:rPr>
          <w:rFonts w:cstheme="majorHAnsi"/>
          <w:lang w:val="en-GB"/>
        </w:rPr>
      </w:pPr>
      <w:bookmarkStart w:id="0" w:name="_Toc210376481"/>
      <w:r>
        <w:rPr>
          <w:rFonts w:cstheme="majorHAnsi"/>
          <w:lang w:val="en-GB"/>
        </w:rPr>
        <w:lastRenderedPageBreak/>
        <w:t>Ifremer presentation</w:t>
      </w:r>
      <w:bookmarkEnd w:id="0"/>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Ifremer is a state-owned industrial and commercial organisation under the joint direction of the French Research, Sea</w:t>
      </w:r>
      <w:r>
        <w:rPr>
          <w:rFonts w:asciiTheme="majorHAnsi" w:hAnsiTheme="majorHAnsi" w:cstheme="majorHAnsi"/>
          <w:lang w:val="en-GB"/>
        </w:rPr>
        <w:t xml:space="preserve"> and Environment ministries.</w:t>
      </w:r>
    </w:p>
    <w:p w:rsidR="00E96343" w:rsidRDefault="00190EF8">
      <w:pPr>
        <w:rPr>
          <w:rFonts w:asciiTheme="majorHAnsi" w:hAnsiTheme="majorHAnsi" w:cstheme="majorHAnsi"/>
          <w:b/>
          <w:lang w:val="en-GB"/>
        </w:rPr>
      </w:pPr>
      <w:r>
        <w:rPr>
          <w:rFonts w:asciiTheme="majorHAnsi" w:hAnsiTheme="majorHAnsi" w:cstheme="majorHAnsi"/>
          <w:b/>
          <w:lang w:val="en-GB"/>
        </w:rPr>
        <w:t>Its goals are to:</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Know, assess and promote ocean resources and help make them sustainable,</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Improve surveillance and protection, change forecasting practices and maritime preservation methods,</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Foster maritime business developmen</w:t>
      </w:r>
      <w:r>
        <w:rPr>
          <w:rFonts w:asciiTheme="majorHAnsi" w:hAnsiTheme="majorHAnsi" w:cstheme="majorHAnsi"/>
          <w:lang w:val="en-GB"/>
        </w:rPr>
        <w:t>t.</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b/>
          <w:lang w:val="en-GB"/>
        </w:rPr>
      </w:pPr>
      <w:r>
        <w:rPr>
          <w:rFonts w:asciiTheme="majorHAnsi" w:hAnsiTheme="majorHAnsi" w:cstheme="majorHAnsi"/>
          <w:b/>
          <w:lang w:val="en-GB"/>
        </w:rPr>
        <w:t>To achieve the above goals, Ifremer focuses on the following:</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Research,</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Public interest expertise - coastline surveillance and seafood health safety,</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Providing resources - ocean-going fleet and technological development,</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Outsourcing to companies and publicising activities.</w:t>
      </w:r>
    </w:p>
    <w:p w:rsidR="00E96343" w:rsidRDefault="00E96343">
      <w:pPr>
        <w:ind w:left="814"/>
        <w:contextualSpacing/>
        <w:rPr>
          <w:rFonts w:asciiTheme="majorHAnsi" w:hAnsiTheme="majorHAnsi" w:cstheme="majorHAnsi"/>
          <w:lang w:val="en-GB"/>
        </w:rPr>
      </w:pPr>
    </w:p>
    <w:p w:rsidR="00E96343" w:rsidRDefault="00190EF8">
      <w:pPr>
        <w:rPr>
          <w:rFonts w:asciiTheme="majorHAnsi" w:hAnsiTheme="majorHAnsi" w:cstheme="majorHAnsi"/>
          <w:b/>
          <w:lang w:val="en-GB"/>
        </w:rPr>
      </w:pPr>
      <w:r>
        <w:rPr>
          <w:rFonts w:asciiTheme="majorHAnsi" w:hAnsiTheme="majorHAnsi" w:cstheme="majorHAnsi"/>
          <w:b/>
          <w:lang w:val="en-GB"/>
        </w:rPr>
        <w:t>A few Ifremer figures:</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1,500 people, 2,000 including subsidiaries and partner laboratories,</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Approx. €213m annual budget (excluding internal transactions),</w:t>
      </w:r>
    </w:p>
    <w:p w:rsidR="00E96343" w:rsidRDefault="00190EF8">
      <w:pPr>
        <w:numPr>
          <w:ilvl w:val="0"/>
          <w:numId w:val="6"/>
        </w:numPr>
        <w:spacing w:before="0" w:after="160" w:line="240" w:lineRule="auto"/>
        <w:contextualSpacing/>
        <w:rPr>
          <w:rFonts w:asciiTheme="majorHAnsi" w:hAnsiTheme="majorHAnsi" w:cstheme="majorHAnsi"/>
          <w:lang w:val="en-GB"/>
        </w:rPr>
      </w:pPr>
      <w:r>
        <w:rPr>
          <w:rFonts w:asciiTheme="majorHAnsi" w:hAnsiTheme="majorHAnsi" w:cstheme="majorHAnsi"/>
          <w:lang w:val="en-GB"/>
        </w:rPr>
        <w:t>30 locations in mainland and overseas France.</w:t>
      </w:r>
    </w:p>
    <w:p w:rsidR="00E96343" w:rsidRDefault="00E96343">
      <w:pPr>
        <w:contextualSpacing/>
        <w:rPr>
          <w:rFonts w:asciiTheme="majorHAnsi" w:hAnsiTheme="majorHAnsi" w:cstheme="majorHAnsi"/>
          <w:lang w:val="en-GB"/>
        </w:rPr>
      </w:pPr>
    </w:p>
    <w:p w:rsidR="00E96343" w:rsidRDefault="00190EF8">
      <w:pPr>
        <w:contextualSpacing/>
        <w:rPr>
          <w:rFonts w:asciiTheme="majorHAnsi" w:hAnsiTheme="majorHAnsi" w:cstheme="majorHAnsi"/>
          <w:lang w:val="en-GB"/>
        </w:rPr>
      </w:pPr>
      <w:r>
        <w:rPr>
          <w:rFonts w:asciiTheme="majorHAnsi" w:hAnsiTheme="majorHAnsi" w:cstheme="majorHAnsi"/>
          <w:lang w:val="en-GB"/>
        </w:rPr>
        <w:t>Ifremer is responsible for the French Oceanographic Fleet since 2018. The French Oceanographic Fleet comprises several surface vessels (4 offshore vessels, 2 regional vessels and 5 coastal vessels), manned and autonomous underwater vehicles, and underwater</w:t>
      </w:r>
      <w:r>
        <w:rPr>
          <w:rFonts w:asciiTheme="majorHAnsi" w:hAnsiTheme="majorHAnsi" w:cstheme="majorHAnsi"/>
          <w:lang w:val="en-GB"/>
        </w:rPr>
        <w:t xml:space="preserve"> systems (marine seismic equipment, coring systems…).</w:t>
      </w:r>
    </w:p>
    <w:p w:rsidR="00E96343" w:rsidRDefault="00E96343">
      <w:pPr>
        <w:rPr>
          <w:rFonts w:asciiTheme="majorHAnsi" w:eastAsia="Arial" w:hAnsiTheme="majorHAnsi" w:cstheme="majorHAnsi"/>
          <w:lang w:val="en-GB"/>
        </w:rPr>
      </w:pPr>
    </w:p>
    <w:p w:rsidR="00E96343" w:rsidRDefault="00190EF8">
      <w:pPr>
        <w:pStyle w:val="Titre1"/>
        <w:rPr>
          <w:rFonts w:cstheme="majorHAnsi"/>
          <w:lang w:val="en-GB"/>
        </w:rPr>
      </w:pPr>
      <w:bookmarkStart w:id="1" w:name="_Toc210376482"/>
      <w:r>
        <w:rPr>
          <w:rFonts w:cstheme="majorHAnsi"/>
          <w:lang w:val="en-GB"/>
        </w:rPr>
        <w:t>Project overview</w:t>
      </w:r>
      <w:bookmarkEnd w:id="1"/>
    </w:p>
    <w:p w:rsidR="00E96343" w:rsidRDefault="00190EF8">
      <w:pPr>
        <w:pStyle w:val="Sous-titre"/>
        <w:tabs>
          <w:tab w:val="left" w:pos="1230"/>
        </w:tabs>
        <w:ind w:left="0"/>
        <w:rPr>
          <w:rFonts w:asciiTheme="majorHAnsi" w:eastAsiaTheme="minorHAnsi" w:hAnsiTheme="majorHAnsi" w:cstheme="majorHAnsi"/>
          <w:color w:val="auto"/>
          <w:spacing w:val="0"/>
          <w:sz w:val="22"/>
          <w:lang w:val="en-GB"/>
        </w:rPr>
      </w:pPr>
      <w:r>
        <w:rPr>
          <w:rFonts w:asciiTheme="majorHAnsi" w:eastAsiaTheme="minorHAnsi" w:hAnsiTheme="majorHAnsi" w:cstheme="majorHAnsi"/>
          <w:color w:val="auto"/>
          <w:spacing w:val="0"/>
          <w:sz w:val="22"/>
          <w:lang w:val="en-GB"/>
        </w:rPr>
        <w:t>The purpose of this contract is to provide Naval engineering services for the design and construction follow-up of a research vessel for Pacific and Antarctic regions.</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lang w:val="en-GB"/>
        </w:rPr>
        <w:t xml:space="preserve">It will primarily involve providing technical assistance to Ifremer for the new vessel Michel Rocard. </w:t>
      </w:r>
    </w:p>
    <w:p w:rsidR="00E96343" w:rsidRDefault="00E96343">
      <w:pPr>
        <w:rPr>
          <w:rFonts w:asciiTheme="majorHAnsi" w:hAnsiTheme="majorHAnsi" w:cstheme="majorHAnsi"/>
          <w:lang w:val="en-GB"/>
        </w:rPr>
      </w:pPr>
    </w:p>
    <w:p w:rsidR="00E96343" w:rsidRDefault="00190EF8">
      <w:pPr>
        <w:rPr>
          <w:lang w:val="en-GB"/>
        </w:rPr>
      </w:pPr>
      <w:r>
        <w:rPr>
          <w:lang w:val="en-GB"/>
        </w:rPr>
        <w:t xml:space="preserve">The Pacific-Antarctic Regional Vessel will be a 65-70 meter ship, accommodating up to 21 permanent staff and scientists and 18 crew members. It will be </w:t>
      </w:r>
      <w:r>
        <w:rPr>
          <w:lang w:val="en-GB"/>
        </w:rPr>
        <w:t>capable of 24/7 operations at sea.</w:t>
      </w:r>
    </w:p>
    <w:p w:rsidR="00E96343" w:rsidRDefault="00190EF8">
      <w:pPr>
        <w:rPr>
          <w:lang w:val="en-GB"/>
        </w:rPr>
      </w:pPr>
      <w:r>
        <w:rPr>
          <w:lang w:val="en-GB"/>
        </w:rPr>
        <w:t>This vessel will be multidisciplinary, supporting campaigns in marine geosciences, ocean physics, fisheries assessment and research, as well as marine technology deployment and training missions. Its primary operating are</w:t>
      </w:r>
      <w:r>
        <w:rPr>
          <w:lang w:val="en-GB"/>
        </w:rPr>
        <w:t xml:space="preserve">as will be the Western Pacific and East Antarctica.. </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lang w:val="en-GB"/>
        </w:rPr>
        <w:t>In this context, Ifremer will need some assistance to perform the following tasks in particular:</w:t>
      </w:r>
    </w:p>
    <w:p w:rsidR="00E96343" w:rsidRDefault="00E96343">
      <w:pPr>
        <w:rPr>
          <w:rFonts w:asciiTheme="majorHAnsi" w:hAnsiTheme="majorHAnsi" w:cstheme="majorHAnsi"/>
          <w:lang w:val="en-GB"/>
        </w:rPr>
      </w:pPr>
    </w:p>
    <w:p w:rsidR="00E96343" w:rsidRDefault="00190EF8">
      <w:pPr>
        <w:pStyle w:val="Paragraphedeliste"/>
        <w:numPr>
          <w:ilvl w:val="0"/>
          <w:numId w:val="6"/>
        </w:numPr>
        <w:rPr>
          <w:rFonts w:asciiTheme="majorHAnsi" w:hAnsiTheme="majorHAnsi" w:cstheme="majorHAnsi"/>
          <w:lang w:val="en-GB"/>
        </w:rPr>
      </w:pPr>
      <w:r>
        <w:rPr>
          <w:rFonts w:asciiTheme="majorHAnsi" w:hAnsiTheme="majorHAnsi" w:cstheme="majorHAnsi"/>
          <w:lang w:val="en-GB"/>
        </w:rPr>
        <w:lastRenderedPageBreak/>
        <w:t>Conceptual design, including WASP integration study,</w:t>
      </w:r>
    </w:p>
    <w:p w:rsidR="00E96343" w:rsidRDefault="00190EF8">
      <w:pPr>
        <w:pStyle w:val="Paragraphedeliste"/>
        <w:numPr>
          <w:ilvl w:val="0"/>
          <w:numId w:val="6"/>
        </w:numPr>
        <w:rPr>
          <w:rFonts w:asciiTheme="majorHAnsi" w:hAnsiTheme="majorHAnsi" w:cstheme="majorHAnsi"/>
          <w:lang w:val="en-GB"/>
        </w:rPr>
      </w:pPr>
      <w:r>
        <w:rPr>
          <w:rFonts w:asciiTheme="majorHAnsi" w:hAnsiTheme="majorHAnsi" w:cstheme="majorHAnsi"/>
          <w:lang w:val="en-GB"/>
        </w:rPr>
        <w:t xml:space="preserve">Preliminary design &amp; yard contractual package </w:t>
      </w:r>
      <w:r>
        <w:rPr>
          <w:rFonts w:asciiTheme="majorHAnsi" w:hAnsiTheme="majorHAnsi" w:cstheme="majorHAnsi"/>
          <w:lang w:val="en-GB"/>
        </w:rPr>
        <w:t>preparation,</w:t>
      </w:r>
    </w:p>
    <w:p w:rsidR="00E96343" w:rsidRDefault="00190EF8">
      <w:pPr>
        <w:pStyle w:val="Paragraphedeliste"/>
        <w:numPr>
          <w:ilvl w:val="0"/>
          <w:numId w:val="6"/>
        </w:numPr>
        <w:rPr>
          <w:rFonts w:asciiTheme="majorHAnsi" w:hAnsiTheme="majorHAnsi" w:cstheme="majorHAnsi"/>
          <w:lang w:val="en-GB"/>
        </w:rPr>
      </w:pPr>
      <w:r>
        <w:rPr>
          <w:rFonts w:asciiTheme="majorHAnsi" w:hAnsiTheme="majorHAnsi" w:cstheme="majorHAnsi"/>
          <w:lang w:val="en-GB"/>
        </w:rPr>
        <w:t>Yard tender process follow-up including technical clarification &amp; candidates notation,</w:t>
      </w:r>
    </w:p>
    <w:p w:rsidR="00E96343" w:rsidRDefault="00190EF8">
      <w:pPr>
        <w:pStyle w:val="Paragraphedeliste"/>
        <w:numPr>
          <w:ilvl w:val="0"/>
          <w:numId w:val="6"/>
        </w:numPr>
        <w:rPr>
          <w:rFonts w:asciiTheme="majorHAnsi" w:hAnsiTheme="majorHAnsi" w:cstheme="majorHAnsi"/>
          <w:strike/>
          <w:lang w:val="en-GB"/>
        </w:rPr>
      </w:pPr>
      <w:r>
        <w:rPr>
          <w:rFonts w:asciiTheme="majorHAnsi" w:hAnsiTheme="majorHAnsi" w:cstheme="majorHAnsi"/>
          <w:lang w:val="en-GB"/>
        </w:rPr>
        <w:t>Technical review contracted shipyard engineering during the construction contract.</w:t>
      </w:r>
    </w:p>
    <w:p w:rsidR="00E96343" w:rsidRDefault="00E96343">
      <w:pPr>
        <w:rPr>
          <w:rFonts w:asciiTheme="majorHAnsi" w:hAnsiTheme="majorHAnsi" w:cstheme="majorHAnsi"/>
          <w:lang w:val="en-GB"/>
        </w:rPr>
      </w:pPr>
    </w:p>
    <w:p w:rsidR="00E96343" w:rsidRDefault="00E96343">
      <w:pPr>
        <w:rPr>
          <w:rFonts w:asciiTheme="majorHAnsi" w:hAnsiTheme="majorHAnsi" w:cstheme="majorHAnsi"/>
          <w:lang w:val="en-GB"/>
        </w:rPr>
      </w:pPr>
    </w:p>
    <w:p w:rsidR="00E96343" w:rsidRDefault="00190EF8">
      <w:pPr>
        <w:pStyle w:val="Titre1"/>
        <w:rPr>
          <w:rFonts w:cstheme="majorHAnsi"/>
          <w:lang w:val="en-GB"/>
        </w:rPr>
      </w:pPr>
      <w:bookmarkStart w:id="2" w:name="_Toc210376483"/>
      <w:r>
        <w:rPr>
          <w:rFonts w:cstheme="majorHAnsi"/>
          <w:lang w:val="en-GB"/>
        </w:rPr>
        <w:t>Tender framework</w:t>
      </w:r>
      <w:bookmarkEnd w:id="2"/>
      <w:r>
        <w:rPr>
          <w:rFonts w:cstheme="majorHAnsi"/>
          <w:lang w:val="en-GB"/>
        </w:rPr>
        <w:t xml:space="preserve"> </w:t>
      </w:r>
    </w:p>
    <w:p w:rsidR="00E96343" w:rsidRDefault="00190EF8">
      <w:pPr>
        <w:pStyle w:val="Titre2"/>
        <w:rPr>
          <w:rFonts w:cstheme="majorHAnsi"/>
          <w:lang w:val="en-GB"/>
        </w:rPr>
      </w:pPr>
      <w:bookmarkStart w:id="3" w:name="_Toc210376484"/>
      <w:r>
        <w:rPr>
          <w:rFonts w:cstheme="majorHAnsi"/>
          <w:lang w:val="en-GB"/>
        </w:rPr>
        <w:t>Justification for using the negotiation procedure</w:t>
      </w:r>
      <w:bookmarkEnd w:id="3"/>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In</w:t>
      </w:r>
      <w:r>
        <w:rPr>
          <w:rFonts w:asciiTheme="majorHAnsi" w:hAnsiTheme="majorHAnsi" w:cstheme="majorHAnsi"/>
          <w:lang w:val="en-GB"/>
        </w:rPr>
        <w:t xml:space="preserve"> accordance with Article R. 2124-3, items 1° and 4° of the French Public Procurement Code, it is possible to use the negotiated procedure when the need cannot be met without adapting readily available solutions and when the contract cannot be awarded witho</w:t>
      </w:r>
      <w:r>
        <w:rPr>
          <w:rFonts w:asciiTheme="majorHAnsi" w:hAnsiTheme="majorHAnsi" w:cstheme="majorHAnsi"/>
          <w:lang w:val="en-GB"/>
        </w:rPr>
        <w:t>ut prior negotiation due to specific circumstances related to its nature, complexity, legal and financial arrangement, or associated risks.</w:t>
      </w:r>
    </w:p>
    <w:p w:rsidR="00E96343" w:rsidRDefault="00190EF8">
      <w:pPr>
        <w:rPr>
          <w:rFonts w:asciiTheme="majorHAnsi" w:hAnsiTheme="majorHAnsi" w:cstheme="majorHAnsi"/>
          <w:lang w:val="en-GB"/>
        </w:rPr>
      </w:pPr>
      <w:r>
        <w:rPr>
          <w:rFonts w:asciiTheme="majorHAnsi" w:hAnsiTheme="majorHAnsi" w:cstheme="majorHAnsi"/>
          <w:lang w:val="en-GB"/>
        </w:rPr>
        <w:t>The engineering services covered by this contract are not standard engineering services. They must be adapted to the</w:t>
      </w:r>
      <w:r>
        <w:rPr>
          <w:rFonts w:asciiTheme="majorHAnsi" w:hAnsiTheme="majorHAnsi" w:cstheme="majorHAnsi"/>
          <w:lang w:val="en-GB"/>
        </w:rPr>
        <w:t xml:space="preserve"> specific requirements of the vessel to be built. In particular, the contractor must take into account the fact that the vessel will operate in both the Pacific and Antarctic Oceans with constraints on the dimensions of the vessel.</w:t>
      </w:r>
    </w:p>
    <w:p w:rsidR="00E96343" w:rsidRDefault="00190EF8">
      <w:pPr>
        <w:rPr>
          <w:rFonts w:asciiTheme="majorHAnsi" w:hAnsiTheme="majorHAnsi" w:cstheme="majorHAnsi"/>
          <w:lang w:val="en-GB"/>
        </w:rPr>
      </w:pPr>
      <w:r>
        <w:rPr>
          <w:rFonts w:asciiTheme="majorHAnsi" w:hAnsiTheme="majorHAnsi" w:cstheme="majorHAnsi"/>
          <w:lang w:val="en-GB"/>
        </w:rPr>
        <w:t>Furthermore, the contrac</w:t>
      </w:r>
      <w:r>
        <w:rPr>
          <w:rFonts w:asciiTheme="majorHAnsi" w:hAnsiTheme="majorHAnsi" w:cstheme="majorHAnsi"/>
          <w:lang w:val="en-GB"/>
        </w:rPr>
        <w:t>t includes engineering support services to Ifremer from the design phase through to the vessel’s acceptance by Ifremer. This entails a complex legal and financial framework, including the definition of technical phases and the performance of variable servi</w:t>
      </w:r>
      <w:r>
        <w:rPr>
          <w:rFonts w:asciiTheme="majorHAnsi" w:hAnsiTheme="majorHAnsi" w:cstheme="majorHAnsi"/>
          <w:lang w:val="en-GB"/>
        </w:rPr>
        <w:t>ces within each phase depending on the progress of the construction project.</w:t>
      </w:r>
    </w:p>
    <w:p w:rsidR="00E96343" w:rsidRDefault="00190EF8">
      <w:pPr>
        <w:pStyle w:val="Titre2"/>
        <w:rPr>
          <w:rFonts w:cstheme="majorHAnsi"/>
          <w:lang w:val="en-GB"/>
        </w:rPr>
      </w:pPr>
      <w:bookmarkStart w:id="4" w:name="_Toc210376485"/>
      <w:r>
        <w:rPr>
          <w:rFonts w:cstheme="majorHAnsi"/>
          <w:lang w:val="en-GB"/>
        </w:rPr>
        <w:t>Allotment</w:t>
      </w:r>
      <w:bookmarkEnd w:id="4"/>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Article L2113-11 2° of the French Public Procurement Code provides that awarding a single contract is allowed when dividing the contract into separate lots would restri</w:t>
      </w:r>
      <w:r>
        <w:rPr>
          <w:rFonts w:asciiTheme="majorHAnsi" w:hAnsiTheme="majorHAnsi" w:cstheme="majorHAnsi"/>
          <w:lang w:val="en-GB"/>
        </w:rPr>
        <w:t>ct competition or risk making the execution of the services technically difficult or more costly.</w:t>
      </w:r>
    </w:p>
    <w:p w:rsidR="00E96343" w:rsidRDefault="00190EF8">
      <w:pPr>
        <w:rPr>
          <w:rFonts w:asciiTheme="majorHAnsi" w:hAnsiTheme="majorHAnsi" w:cstheme="majorHAnsi"/>
          <w:lang w:val="en-GB"/>
        </w:rPr>
      </w:pPr>
      <w:r>
        <w:rPr>
          <w:rFonts w:asciiTheme="majorHAnsi" w:hAnsiTheme="majorHAnsi" w:cstheme="majorHAnsi"/>
          <w:lang w:val="en-GB"/>
        </w:rPr>
        <w:t>This contract meets this exemption criterion, the services under the contract form a coherent and interdependent whole.</w:t>
      </w:r>
    </w:p>
    <w:p w:rsidR="00E96343" w:rsidRDefault="00190EF8">
      <w:pPr>
        <w:rPr>
          <w:rFonts w:asciiTheme="majorHAnsi" w:hAnsiTheme="majorHAnsi" w:cstheme="majorHAnsi"/>
          <w:lang w:val="en-GB"/>
        </w:rPr>
      </w:pPr>
      <w:r>
        <w:rPr>
          <w:rFonts w:asciiTheme="majorHAnsi" w:hAnsiTheme="majorHAnsi" w:cstheme="majorHAnsi"/>
          <w:lang w:val="en-GB"/>
        </w:rPr>
        <w:t xml:space="preserve">The contract is therefore not divided </w:t>
      </w:r>
      <w:r>
        <w:rPr>
          <w:rFonts w:asciiTheme="majorHAnsi" w:hAnsiTheme="majorHAnsi" w:cstheme="majorHAnsi"/>
          <w:lang w:val="en-GB"/>
        </w:rPr>
        <w:t>into lots.</w:t>
      </w:r>
    </w:p>
    <w:p w:rsidR="00E96343" w:rsidRDefault="00190EF8">
      <w:pPr>
        <w:pStyle w:val="Titre2"/>
        <w:rPr>
          <w:rFonts w:cstheme="majorHAnsi"/>
          <w:lang w:val="en-GB"/>
        </w:rPr>
      </w:pPr>
      <w:bookmarkStart w:id="5" w:name="_Toc210376486"/>
      <w:r>
        <w:rPr>
          <w:rFonts w:cstheme="majorHAnsi"/>
          <w:lang w:val="en-GB"/>
        </w:rPr>
        <w:t>Variants</w:t>
      </w:r>
      <w:bookmarkEnd w:id="5"/>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 xml:space="preserve">Variants are prohibited. </w:t>
      </w:r>
    </w:p>
    <w:p w:rsidR="00E96343" w:rsidRDefault="00190EF8">
      <w:pPr>
        <w:pStyle w:val="Titre2"/>
        <w:rPr>
          <w:rFonts w:cstheme="majorHAnsi"/>
          <w:lang w:val="en-GB"/>
        </w:rPr>
      </w:pPr>
      <w:bookmarkStart w:id="6" w:name="_Toc210376487"/>
      <w:r>
        <w:rPr>
          <w:rFonts w:cstheme="majorHAnsi"/>
          <w:lang w:val="en-GB"/>
        </w:rPr>
        <w:t>Grouping</w:t>
      </w:r>
      <w:bookmarkEnd w:id="6"/>
    </w:p>
    <w:p w:rsidR="00E96343" w:rsidRDefault="00190EF8">
      <w:pPr>
        <w:rPr>
          <w:rFonts w:asciiTheme="majorHAnsi" w:hAnsiTheme="majorHAnsi" w:cstheme="majorHAnsi"/>
          <w:lang w:val="en-GB"/>
        </w:rPr>
      </w:pPr>
      <w:r>
        <w:rPr>
          <w:rFonts w:asciiTheme="majorHAnsi" w:hAnsiTheme="majorHAnsi" w:cstheme="majorHAnsi"/>
          <w:lang w:val="en-GB"/>
        </w:rPr>
        <w:t>The contract will be awarded to:</w:t>
      </w:r>
    </w:p>
    <w:p w:rsidR="00E96343" w:rsidRDefault="00190EF8">
      <w:pPr>
        <w:pStyle w:val="Paragraphedeliste"/>
        <w:numPr>
          <w:ilvl w:val="0"/>
          <w:numId w:val="10"/>
        </w:numPr>
        <w:rPr>
          <w:rFonts w:asciiTheme="majorHAnsi" w:hAnsiTheme="majorHAnsi" w:cstheme="majorHAnsi"/>
          <w:lang w:val="en-GB"/>
        </w:rPr>
      </w:pPr>
      <w:r>
        <w:rPr>
          <w:rFonts w:asciiTheme="majorHAnsi" w:hAnsiTheme="majorHAnsi" w:cstheme="majorHAnsi"/>
          <w:lang w:val="en-GB"/>
        </w:rPr>
        <w:t>Either an individual firm,</w:t>
      </w:r>
    </w:p>
    <w:p w:rsidR="00E96343" w:rsidRDefault="00190EF8">
      <w:pPr>
        <w:pStyle w:val="Paragraphedeliste"/>
        <w:numPr>
          <w:ilvl w:val="0"/>
          <w:numId w:val="10"/>
        </w:numPr>
        <w:rPr>
          <w:rFonts w:asciiTheme="majorHAnsi" w:hAnsiTheme="majorHAnsi" w:cstheme="majorHAnsi"/>
          <w:lang w:val="en-GB"/>
        </w:rPr>
      </w:pPr>
      <w:r>
        <w:rPr>
          <w:rFonts w:asciiTheme="majorHAnsi" w:hAnsiTheme="majorHAnsi" w:cstheme="majorHAnsi"/>
          <w:lang w:val="en-GB"/>
        </w:rPr>
        <w:t>or a business consortium.</w:t>
      </w:r>
    </w:p>
    <w:p w:rsidR="00E96343" w:rsidRDefault="00190EF8">
      <w:pPr>
        <w:rPr>
          <w:rFonts w:asciiTheme="majorHAnsi" w:hAnsiTheme="majorHAnsi" w:cstheme="majorHAnsi"/>
          <w:lang w:val="en-GB"/>
        </w:rPr>
      </w:pPr>
      <w:r>
        <w:rPr>
          <w:rFonts w:asciiTheme="majorHAnsi" w:hAnsiTheme="majorHAnsi" w:cstheme="majorHAnsi"/>
          <w:lang w:val="en-GB"/>
        </w:rPr>
        <w:t xml:space="preserve">Applicants firms may be grouped as </w:t>
      </w:r>
      <w:r>
        <w:rPr>
          <w:rFonts w:asciiTheme="majorHAnsi" w:hAnsiTheme="majorHAnsi" w:cstheme="majorHAnsi"/>
          <w:color w:val="000000" w:themeColor="text1"/>
          <w:lang w:val="en-GB"/>
        </w:rPr>
        <w:t xml:space="preserve">joint and several liability </w:t>
      </w:r>
      <w:r>
        <w:rPr>
          <w:rFonts w:asciiTheme="majorHAnsi" w:hAnsiTheme="majorHAnsi" w:cstheme="majorHAnsi"/>
          <w:lang w:val="en-GB"/>
        </w:rPr>
        <w:t>consortia or as joint-liability consortium.</w:t>
      </w:r>
    </w:p>
    <w:p w:rsidR="00E96343" w:rsidRDefault="00190EF8">
      <w:pPr>
        <w:rPr>
          <w:rFonts w:asciiTheme="majorHAnsi" w:hAnsiTheme="majorHAnsi" w:cstheme="majorHAnsi"/>
          <w:lang w:val="en-GB"/>
        </w:rPr>
      </w:pPr>
      <w:r>
        <w:rPr>
          <w:rFonts w:asciiTheme="majorHAnsi" w:hAnsiTheme="majorHAnsi" w:cstheme="majorHAnsi"/>
          <w:lang w:val="en-GB"/>
        </w:rPr>
        <w:t>For the</w:t>
      </w:r>
      <w:r>
        <w:rPr>
          <w:rFonts w:asciiTheme="majorHAnsi" w:hAnsiTheme="majorHAnsi" w:cstheme="majorHAnsi"/>
          <w:lang w:val="en-GB"/>
        </w:rPr>
        <w:t xml:space="preserve"> firms presenting their application as a group:</w:t>
      </w:r>
    </w:p>
    <w:p w:rsidR="00E96343" w:rsidRDefault="00190EF8">
      <w:pPr>
        <w:pStyle w:val="Liste"/>
        <w:rPr>
          <w:rFonts w:asciiTheme="majorHAnsi" w:hAnsiTheme="majorHAnsi" w:cstheme="majorHAnsi"/>
          <w:lang w:val="en-GB"/>
        </w:rPr>
      </w:pPr>
      <w:r>
        <w:rPr>
          <w:rFonts w:asciiTheme="majorHAnsi" w:hAnsiTheme="majorHAnsi" w:cstheme="majorHAnsi"/>
          <w:lang w:val="en-GB"/>
        </w:rPr>
        <w:lastRenderedPageBreak/>
        <w:t>One of the consortium firm will be named consortium representative on the binding contract,</w:t>
      </w:r>
    </w:p>
    <w:p w:rsidR="00E96343" w:rsidRDefault="00E96343">
      <w:pPr>
        <w:pStyle w:val="Liste"/>
        <w:numPr>
          <w:ilvl w:val="0"/>
          <w:numId w:val="0"/>
        </w:numPr>
        <w:ind w:left="720"/>
        <w:rPr>
          <w:rFonts w:asciiTheme="majorHAnsi" w:hAnsiTheme="majorHAnsi" w:cstheme="majorHAnsi"/>
          <w:lang w:val="en-GB"/>
        </w:rPr>
      </w:pPr>
    </w:p>
    <w:p w:rsidR="00E96343" w:rsidRDefault="00190EF8">
      <w:pPr>
        <w:pStyle w:val="Liste"/>
        <w:rPr>
          <w:rFonts w:asciiTheme="majorHAnsi" w:hAnsiTheme="majorHAnsi" w:cstheme="majorHAnsi"/>
          <w:lang w:val="en-GB"/>
        </w:rPr>
      </w:pPr>
      <w:r>
        <w:rPr>
          <w:rFonts w:asciiTheme="majorHAnsi" w:hAnsiTheme="majorHAnsi" w:cstheme="majorHAnsi"/>
          <w:lang w:val="en-GB"/>
        </w:rPr>
        <w:t>For joint-liability consortium, the representative must be jointly and severally liable,</w:t>
      </w:r>
    </w:p>
    <w:p w:rsidR="00E96343" w:rsidRDefault="00E96343">
      <w:pPr>
        <w:pStyle w:val="Liste"/>
        <w:numPr>
          <w:ilvl w:val="0"/>
          <w:numId w:val="0"/>
        </w:numPr>
        <w:ind w:left="720" w:hanging="360"/>
        <w:rPr>
          <w:rFonts w:asciiTheme="majorHAnsi" w:hAnsiTheme="majorHAnsi" w:cstheme="majorHAnsi"/>
          <w:lang w:val="en-GB"/>
        </w:rPr>
      </w:pPr>
    </w:p>
    <w:p w:rsidR="00E96343" w:rsidRDefault="00190EF8">
      <w:pPr>
        <w:pStyle w:val="Liste"/>
        <w:rPr>
          <w:rFonts w:asciiTheme="majorHAnsi" w:hAnsiTheme="majorHAnsi" w:cstheme="majorHAnsi"/>
          <w:lang w:val="en-GB"/>
        </w:rPr>
      </w:pPr>
      <w:r>
        <w:rPr>
          <w:rFonts w:asciiTheme="majorHAnsi" w:hAnsiTheme="majorHAnsi" w:cstheme="majorHAnsi"/>
          <w:lang w:val="en-GB"/>
        </w:rPr>
        <w:t xml:space="preserve">For </w:t>
      </w:r>
      <w:r>
        <w:rPr>
          <w:rFonts w:asciiTheme="majorHAnsi" w:hAnsiTheme="majorHAnsi" w:cstheme="majorHAnsi"/>
          <w:color w:val="000000" w:themeColor="text1"/>
          <w:lang w:val="en-GB"/>
        </w:rPr>
        <w:t xml:space="preserve">joint and several liability </w:t>
      </w:r>
      <w:r>
        <w:rPr>
          <w:rFonts w:asciiTheme="majorHAnsi" w:hAnsiTheme="majorHAnsi" w:cstheme="majorHAnsi"/>
          <w:lang w:val="en-GB"/>
        </w:rPr>
        <w:t>consortia, the binding contract shall be a single document stating the total contract value and all services the consortium has to jointly perform,</w:t>
      </w:r>
    </w:p>
    <w:p w:rsidR="00E96343" w:rsidRDefault="00E96343">
      <w:pPr>
        <w:pStyle w:val="Liste"/>
        <w:numPr>
          <w:ilvl w:val="0"/>
          <w:numId w:val="0"/>
        </w:numPr>
        <w:ind w:left="720"/>
        <w:rPr>
          <w:rFonts w:asciiTheme="majorHAnsi" w:hAnsiTheme="majorHAnsi" w:cstheme="majorHAnsi"/>
          <w:lang w:val="en-GB"/>
        </w:rPr>
      </w:pPr>
    </w:p>
    <w:p w:rsidR="00E96343" w:rsidRDefault="00190EF8">
      <w:pPr>
        <w:pStyle w:val="Liste"/>
        <w:rPr>
          <w:rFonts w:asciiTheme="majorHAnsi" w:hAnsiTheme="majorHAnsi" w:cstheme="majorHAnsi"/>
          <w:lang w:val="en-GB"/>
        </w:rPr>
      </w:pPr>
      <w:r>
        <w:rPr>
          <w:rFonts w:asciiTheme="majorHAnsi" w:hAnsiTheme="majorHAnsi" w:cstheme="majorHAnsi"/>
          <w:lang w:val="en-GB"/>
        </w:rPr>
        <w:t>Applications and bids shall be presented by all consortium firms, or by the representative with required authority to represent the consortium at this stage. One firm cannot represent more than one consortium.</w:t>
      </w:r>
    </w:p>
    <w:p w:rsidR="00E96343" w:rsidRDefault="00E96343">
      <w:pPr>
        <w:pStyle w:val="Liste"/>
        <w:numPr>
          <w:ilvl w:val="0"/>
          <w:numId w:val="0"/>
        </w:numPr>
        <w:ind w:left="720"/>
        <w:rPr>
          <w:rFonts w:asciiTheme="majorHAnsi" w:hAnsiTheme="majorHAnsi" w:cstheme="majorHAnsi"/>
          <w:lang w:val="en-GB"/>
        </w:rPr>
      </w:pPr>
    </w:p>
    <w:p w:rsidR="00E96343" w:rsidRDefault="00190EF8">
      <w:pPr>
        <w:pStyle w:val="Liste"/>
        <w:rPr>
          <w:rFonts w:asciiTheme="majorHAnsi" w:hAnsiTheme="majorHAnsi" w:cstheme="majorHAnsi"/>
          <w:lang w:val="en-GB"/>
        </w:rPr>
      </w:pPr>
      <w:r>
        <w:rPr>
          <w:rFonts w:asciiTheme="majorHAnsi" w:hAnsiTheme="majorHAnsi" w:cstheme="majorHAnsi"/>
          <w:lang w:val="en-GB"/>
        </w:rPr>
        <w:t>Bids shall be signed by all consortium firms,</w:t>
      </w:r>
      <w:r>
        <w:rPr>
          <w:rFonts w:asciiTheme="majorHAnsi" w:hAnsiTheme="majorHAnsi" w:cstheme="majorHAnsi"/>
          <w:lang w:val="en-GB"/>
        </w:rPr>
        <w:t xml:space="preserve"> or by the representative with required authority to represent the consortium at this stage (representative power of attorney).</w:t>
      </w:r>
    </w:p>
    <w:p w:rsidR="00E96343" w:rsidRDefault="00E96343">
      <w:pPr>
        <w:pStyle w:val="Liste"/>
        <w:numPr>
          <w:ilvl w:val="0"/>
          <w:numId w:val="0"/>
        </w:numPr>
        <w:rPr>
          <w:rFonts w:asciiTheme="majorHAnsi" w:hAnsiTheme="majorHAnsi" w:cstheme="majorHAnsi"/>
          <w:lang w:val="en-GB"/>
        </w:rPr>
      </w:pPr>
    </w:p>
    <w:p w:rsidR="00E96343" w:rsidRDefault="00190EF8">
      <w:pPr>
        <w:spacing w:after="0"/>
        <w:rPr>
          <w:rFonts w:asciiTheme="majorHAnsi" w:hAnsiTheme="majorHAnsi" w:cstheme="majorHAnsi"/>
          <w:lang w:val="en-GB"/>
        </w:rPr>
      </w:pPr>
      <w:r>
        <w:rPr>
          <w:rFonts w:asciiTheme="majorHAnsi" w:hAnsiTheme="majorHAnsi" w:cstheme="majorHAnsi"/>
          <w:lang w:val="en-GB"/>
        </w:rPr>
        <w:t xml:space="preserve">Possibility of submitting several tenders for the public contract(s) by acting at the same time: </w:t>
      </w:r>
    </w:p>
    <w:p w:rsidR="00E96343" w:rsidRDefault="00190EF8">
      <w:pPr>
        <w:pStyle w:val="Paragraphedeliste"/>
        <w:numPr>
          <w:ilvl w:val="0"/>
          <w:numId w:val="7"/>
        </w:numPr>
        <w:spacing w:before="0" w:after="0" w:line="240" w:lineRule="auto"/>
        <w:rPr>
          <w:rFonts w:asciiTheme="majorHAnsi" w:hAnsiTheme="majorHAnsi" w:cstheme="majorHAnsi"/>
          <w:lang w:val="en-GB"/>
        </w:rPr>
      </w:pPr>
      <w:r>
        <w:rPr>
          <w:rFonts w:asciiTheme="majorHAnsi" w:hAnsiTheme="majorHAnsi" w:cstheme="majorHAnsi"/>
          <w:lang w:val="en-GB"/>
        </w:rPr>
        <w:t>As Individual bidders and mem</w:t>
      </w:r>
      <w:r>
        <w:rPr>
          <w:rFonts w:asciiTheme="majorHAnsi" w:hAnsiTheme="majorHAnsi" w:cstheme="majorHAnsi"/>
          <w:lang w:val="en-GB"/>
        </w:rPr>
        <w:t xml:space="preserve">bers of one or more consortia: </w:t>
      </w:r>
      <w:r>
        <w:rPr>
          <w:rFonts w:asciiTheme="majorHAnsi" w:hAnsiTheme="majorHAnsi" w:cstheme="majorHAnsi"/>
          <w:b/>
          <w:lang w:val="en-GB"/>
        </w:rPr>
        <w:t>YES</w:t>
      </w:r>
      <w:r>
        <w:rPr>
          <w:rFonts w:asciiTheme="majorHAnsi" w:hAnsiTheme="majorHAnsi" w:cstheme="majorHAnsi"/>
          <w:lang w:val="en-GB"/>
        </w:rPr>
        <w:t xml:space="preserve"> </w:t>
      </w:r>
    </w:p>
    <w:p w:rsidR="00E96343" w:rsidRDefault="00190EF8">
      <w:pPr>
        <w:pStyle w:val="Paragraphedeliste"/>
        <w:numPr>
          <w:ilvl w:val="0"/>
          <w:numId w:val="7"/>
        </w:numPr>
        <w:spacing w:before="0" w:after="0" w:line="240" w:lineRule="auto"/>
        <w:rPr>
          <w:rFonts w:asciiTheme="majorHAnsi" w:hAnsiTheme="majorHAnsi" w:cstheme="majorHAnsi"/>
          <w:lang w:val="en-GB"/>
        </w:rPr>
      </w:pPr>
      <w:r>
        <w:rPr>
          <w:rFonts w:asciiTheme="majorHAnsi" w:hAnsiTheme="majorHAnsi" w:cstheme="majorHAnsi"/>
          <w:lang w:val="en-GB"/>
        </w:rPr>
        <w:t xml:space="preserve">As Members of several consortia: </w:t>
      </w:r>
      <w:r>
        <w:rPr>
          <w:rFonts w:asciiTheme="majorHAnsi" w:hAnsiTheme="majorHAnsi" w:cstheme="majorHAnsi"/>
          <w:b/>
          <w:lang w:val="en-GB"/>
        </w:rPr>
        <w:t>YES</w:t>
      </w:r>
    </w:p>
    <w:p w:rsidR="00E96343" w:rsidRDefault="00190EF8">
      <w:pPr>
        <w:pStyle w:val="Titre2"/>
        <w:rPr>
          <w:rFonts w:cstheme="majorHAnsi"/>
          <w:lang w:val="en-GB"/>
        </w:rPr>
      </w:pPr>
      <w:bookmarkStart w:id="7" w:name="_Toc210376488"/>
      <w:r>
        <w:rPr>
          <w:rFonts w:cstheme="majorHAnsi"/>
          <w:lang w:val="en-GB"/>
        </w:rPr>
        <w:t>Subcontracting</w:t>
      </w:r>
      <w:bookmarkEnd w:id="7"/>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 xml:space="preserve">The candidate must indicate all known subcontractors at the time of submitting their bid using the DC4 form provided by Ifremer. </w:t>
      </w:r>
    </w:p>
    <w:p w:rsidR="00E96343" w:rsidRDefault="00190EF8">
      <w:pPr>
        <w:rPr>
          <w:rFonts w:asciiTheme="majorHAnsi" w:hAnsiTheme="majorHAnsi" w:cstheme="majorHAnsi"/>
          <w:lang w:val="en-GB"/>
        </w:rPr>
      </w:pPr>
      <w:r>
        <w:rPr>
          <w:rFonts w:asciiTheme="majorHAnsi" w:hAnsiTheme="majorHAnsi" w:cstheme="majorHAnsi"/>
          <w:lang w:val="en-GB"/>
        </w:rPr>
        <w:t>Each subcontractor must complete a DC</w:t>
      </w:r>
      <w:r>
        <w:rPr>
          <w:rFonts w:asciiTheme="majorHAnsi" w:hAnsiTheme="majorHAnsi" w:cstheme="majorHAnsi"/>
          <w:lang w:val="en-GB"/>
        </w:rPr>
        <w:t>4 form. The candidate must also specify the services (and their amounts) for which subcontracting is planned, as well as the name and role of the subcontractors, except when the amount is less than €600 including tax.</w:t>
      </w:r>
    </w:p>
    <w:p w:rsidR="00E96343" w:rsidRDefault="00190EF8">
      <w:pPr>
        <w:rPr>
          <w:rFonts w:asciiTheme="majorHAnsi" w:hAnsiTheme="majorHAnsi" w:cstheme="majorHAnsi"/>
          <w:lang w:val="en-GB"/>
        </w:rPr>
      </w:pPr>
      <w:r>
        <w:rPr>
          <w:rFonts w:asciiTheme="majorHAnsi" w:hAnsiTheme="majorHAnsi" w:cstheme="majorHAnsi"/>
          <w:lang w:val="en-GB"/>
        </w:rPr>
        <w:t>It is possible to submit multiple bids</w:t>
      </w:r>
      <w:r>
        <w:rPr>
          <w:rFonts w:asciiTheme="majorHAnsi" w:hAnsiTheme="majorHAnsi" w:cstheme="majorHAnsi"/>
          <w:lang w:val="en-GB"/>
        </w:rPr>
        <w:t xml:space="preserve"> for the public contract(s) acting as a subcontractor: </w:t>
      </w:r>
      <w:r>
        <w:rPr>
          <w:rFonts w:asciiTheme="majorHAnsi" w:hAnsiTheme="majorHAnsi" w:cstheme="majorHAnsi"/>
          <w:b/>
          <w:lang w:val="en-GB"/>
        </w:rPr>
        <w:t>YES</w:t>
      </w:r>
      <w:r>
        <w:rPr>
          <w:rFonts w:asciiTheme="majorHAnsi" w:hAnsiTheme="majorHAnsi" w:cstheme="majorHAnsi"/>
          <w:lang w:val="en-GB"/>
        </w:rPr>
        <w:t>.</w:t>
      </w:r>
    </w:p>
    <w:p w:rsidR="00E96343" w:rsidRDefault="00190EF8">
      <w:pPr>
        <w:pStyle w:val="Titre1"/>
        <w:rPr>
          <w:rFonts w:cstheme="majorHAnsi"/>
          <w:lang w:val="en-GB"/>
        </w:rPr>
      </w:pPr>
      <w:bookmarkStart w:id="8" w:name="_Toc210376489"/>
      <w:r>
        <w:rPr>
          <w:rFonts w:cstheme="majorHAnsi"/>
          <w:lang w:val="en-GB"/>
        </w:rPr>
        <w:t>Terms of contract</w:t>
      </w:r>
      <w:bookmarkEnd w:id="8"/>
      <w:r>
        <w:rPr>
          <w:rFonts w:cstheme="majorHAnsi"/>
          <w:lang w:val="en-GB"/>
        </w:rPr>
        <w:t xml:space="preserve"> </w:t>
      </w:r>
    </w:p>
    <w:p w:rsidR="00E96343" w:rsidRDefault="00190EF8">
      <w:pPr>
        <w:pStyle w:val="Titre2"/>
        <w:rPr>
          <w:rFonts w:cstheme="majorHAnsi"/>
          <w:lang w:val="en-GB"/>
        </w:rPr>
      </w:pPr>
      <w:bookmarkStart w:id="9" w:name="_Toc210376490"/>
      <w:r>
        <w:rPr>
          <w:rFonts w:cstheme="majorHAnsi"/>
          <w:lang w:val="en-GB"/>
        </w:rPr>
        <w:t>Type of contract</w:t>
      </w:r>
      <w:bookmarkEnd w:id="9"/>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 xml:space="preserve">The contract subject to this consultation is a services contract.  </w:t>
      </w:r>
    </w:p>
    <w:p w:rsidR="00E96343" w:rsidRDefault="00190EF8">
      <w:pPr>
        <w:pStyle w:val="Titre2"/>
        <w:rPr>
          <w:rFonts w:cstheme="majorHAnsi"/>
          <w:lang w:val="en-GB"/>
        </w:rPr>
      </w:pPr>
      <w:bookmarkStart w:id="10" w:name="_Toc210376491"/>
      <w:r>
        <w:rPr>
          <w:rFonts w:cstheme="majorHAnsi"/>
          <w:lang w:val="en-GB"/>
        </w:rPr>
        <w:t>CPV classification</w:t>
      </w:r>
      <w:bookmarkEnd w:id="10"/>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The main classification in accordance with the Common Procurement Voca</w:t>
      </w:r>
      <w:r>
        <w:rPr>
          <w:rFonts w:asciiTheme="majorHAnsi" w:hAnsiTheme="majorHAnsi" w:cstheme="majorHAnsi"/>
          <w:lang w:val="en-GB"/>
        </w:rPr>
        <w:t>bulary (CPV) is: 71241000-9- Feasibility studies, counsel services, analysis</w:t>
      </w:r>
    </w:p>
    <w:p w:rsidR="00E96343" w:rsidRDefault="00190EF8">
      <w:pPr>
        <w:pStyle w:val="Titre2"/>
        <w:rPr>
          <w:rFonts w:cstheme="majorHAnsi"/>
          <w:lang w:val="en-GB"/>
        </w:rPr>
      </w:pPr>
      <w:bookmarkStart w:id="11" w:name="_Toc210376492"/>
      <w:r>
        <w:rPr>
          <w:rFonts w:cstheme="majorHAnsi"/>
          <w:lang w:val="en-GB"/>
        </w:rPr>
        <w:t>CCAG</w:t>
      </w:r>
      <w:bookmarkEnd w:id="11"/>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This contract will be governed by the 30 March 2021 CCAG/PI (General Administrative Terms and Conditions for Intellectual Services Contracts) that approves general administr</w:t>
      </w:r>
      <w:r>
        <w:rPr>
          <w:rFonts w:asciiTheme="majorHAnsi" w:hAnsiTheme="majorHAnsi" w:cstheme="majorHAnsi"/>
          <w:lang w:val="en-GB"/>
        </w:rPr>
        <w:t>ative clauses applying to intellectual services of the French Public Procurement. Code.</w:t>
      </w:r>
    </w:p>
    <w:p w:rsidR="00E96343" w:rsidRDefault="00E96343">
      <w:pPr>
        <w:rPr>
          <w:rFonts w:asciiTheme="majorHAnsi" w:hAnsiTheme="majorHAnsi" w:cstheme="majorHAnsi"/>
          <w:lang w:val="en-GB"/>
        </w:rPr>
      </w:pPr>
    </w:p>
    <w:p w:rsidR="00E96343" w:rsidRDefault="00190EF8">
      <w:pPr>
        <w:pStyle w:val="Titre2"/>
        <w:rPr>
          <w:rFonts w:cstheme="majorHAnsi"/>
          <w:lang w:val="en-GB"/>
        </w:rPr>
      </w:pPr>
      <w:bookmarkStart w:id="12" w:name="_Toc210376493"/>
      <w:r>
        <w:rPr>
          <w:rFonts w:cstheme="majorHAnsi"/>
          <w:lang w:val="en-GB"/>
        </w:rPr>
        <w:lastRenderedPageBreak/>
        <w:t>Technical phases</w:t>
      </w:r>
      <w:bookmarkEnd w:id="12"/>
    </w:p>
    <w:p w:rsidR="00E96343" w:rsidRDefault="00190EF8">
      <w:pPr>
        <w:rPr>
          <w:rFonts w:asciiTheme="majorHAnsi" w:hAnsiTheme="majorHAnsi" w:cstheme="majorHAnsi"/>
          <w:lang w:val="en-GB"/>
        </w:rPr>
      </w:pPr>
      <w:r>
        <w:rPr>
          <w:rFonts w:asciiTheme="majorHAnsi" w:hAnsiTheme="majorHAnsi" w:cstheme="majorHAnsi"/>
          <w:lang w:val="en-GB"/>
        </w:rPr>
        <w:t xml:space="preserve">This contract is composed of different technical phases to be executed separately. At the end of each phase, the buyer may decide, at its </w:t>
      </w:r>
      <w:r>
        <w:rPr>
          <w:rFonts w:asciiTheme="majorHAnsi" w:hAnsiTheme="majorHAnsi" w:cstheme="majorHAnsi"/>
          <w:lang w:val="en-GB"/>
        </w:rPr>
        <w:t>own initiative or at Contractor's request, not to proceed with the execution of remaining services. If the request comes from the contractor, it will not be entitled to suspend services. The final decision remains at buyer's discretion.</w:t>
      </w:r>
    </w:p>
    <w:p w:rsidR="00E96343" w:rsidRDefault="00190EF8">
      <w:pPr>
        <w:rPr>
          <w:rFonts w:asciiTheme="majorHAnsi" w:hAnsiTheme="majorHAnsi" w:cstheme="majorHAnsi"/>
          <w:lang w:val="en-GB"/>
        </w:rPr>
      </w:pPr>
      <w:r>
        <w:rPr>
          <w:rFonts w:asciiTheme="majorHAnsi" w:hAnsiTheme="majorHAnsi" w:cstheme="majorHAnsi"/>
          <w:lang w:val="en-GB"/>
        </w:rPr>
        <w:t>The decision to sto</w:t>
      </w:r>
      <w:r>
        <w:rPr>
          <w:rFonts w:asciiTheme="majorHAnsi" w:hAnsiTheme="majorHAnsi" w:cstheme="majorHAnsi"/>
          <w:lang w:val="en-GB"/>
        </w:rPr>
        <w:t>p the execution of contract services shall not give rise to any compensation. The cessation of the execution of the services results in the termination of the contract.</w:t>
      </w:r>
    </w:p>
    <w:p w:rsidR="00E96343" w:rsidRDefault="00190EF8">
      <w:pPr>
        <w:pStyle w:val="Titre2"/>
        <w:rPr>
          <w:rFonts w:cstheme="majorHAnsi"/>
          <w:lang w:val="en-GB"/>
        </w:rPr>
      </w:pPr>
      <w:bookmarkStart w:id="13" w:name="_Toc210376494"/>
      <w:r>
        <w:rPr>
          <w:rFonts w:cstheme="majorHAnsi"/>
          <w:lang w:val="en-GB"/>
        </w:rPr>
        <w:t>Contract form</w:t>
      </w:r>
      <w:bookmarkEnd w:id="13"/>
    </w:p>
    <w:p w:rsidR="00E96343" w:rsidRDefault="00190EF8">
      <w:pPr>
        <w:spacing w:before="100" w:beforeAutospacing="1" w:after="100" w:afterAutospacing="1" w:line="240" w:lineRule="auto"/>
        <w:rPr>
          <w:rFonts w:asciiTheme="majorHAnsi" w:eastAsia="Times New Roman" w:hAnsiTheme="majorHAnsi" w:cstheme="majorHAnsi"/>
          <w:lang w:val="en-GB" w:eastAsia="fr-FR"/>
          <w14:ligatures w14:val="none"/>
        </w:rPr>
      </w:pPr>
      <w:r>
        <w:rPr>
          <w:rFonts w:asciiTheme="majorHAnsi" w:eastAsia="Times New Roman" w:hAnsiTheme="majorHAnsi" w:cstheme="majorHAnsi"/>
          <w:lang w:val="en-GB" w:eastAsia="fr-FR"/>
          <w14:ligatures w14:val="none"/>
        </w:rPr>
        <w:t>This contract is a framework agreement with purchase orders, in accordanc</w:t>
      </w:r>
      <w:r>
        <w:rPr>
          <w:rFonts w:asciiTheme="majorHAnsi" w:eastAsia="Times New Roman" w:hAnsiTheme="majorHAnsi" w:cstheme="majorHAnsi"/>
          <w:lang w:val="en-GB" w:eastAsia="fr-FR"/>
          <w14:ligatures w14:val="none"/>
        </w:rPr>
        <w:t xml:space="preserve">e with Articles L2125-1 and R2162-2 of the French Public Procurement Code. </w:t>
      </w:r>
    </w:p>
    <w:p w:rsidR="00E96343" w:rsidRDefault="00190EF8">
      <w:pPr>
        <w:pStyle w:val="Titre2"/>
        <w:rPr>
          <w:rFonts w:cstheme="majorHAnsi"/>
          <w:lang w:val="en-GB"/>
        </w:rPr>
      </w:pPr>
      <w:bookmarkStart w:id="14" w:name="_Toc210376495"/>
      <w:r>
        <w:rPr>
          <w:rFonts w:cstheme="majorHAnsi"/>
          <w:lang w:val="en-GB"/>
        </w:rPr>
        <w:t>Amount of the framework agreement</w:t>
      </w:r>
      <w:bookmarkEnd w:id="14"/>
      <w:r>
        <w:rPr>
          <w:rFonts w:cstheme="majorHAnsi"/>
          <w:lang w:val="en-GB"/>
        </w:rPr>
        <w:t xml:space="preserve"> </w:t>
      </w:r>
    </w:p>
    <w:p w:rsidR="00E96343" w:rsidRDefault="00190EF8">
      <w:pPr>
        <w:spacing w:before="100" w:beforeAutospacing="1" w:after="100" w:afterAutospacing="1" w:line="240" w:lineRule="auto"/>
        <w:rPr>
          <w:rFonts w:asciiTheme="majorHAnsi" w:eastAsia="Times New Roman" w:hAnsiTheme="majorHAnsi" w:cstheme="majorHAnsi"/>
          <w:lang w:val="en-GB" w:eastAsia="fr-FR"/>
          <w14:ligatures w14:val="none"/>
        </w:rPr>
      </w:pPr>
      <w:r>
        <w:rPr>
          <w:rFonts w:asciiTheme="majorHAnsi" w:eastAsia="Times New Roman" w:hAnsiTheme="majorHAnsi" w:cstheme="majorHAnsi"/>
          <w:lang w:val="en-GB" w:eastAsia="fr-FR"/>
          <w14:ligatures w14:val="none"/>
        </w:rPr>
        <w:t>In accordance with Article R2162-4 of the French Public Procurement Code, the framework agreement is awarded with the following minimum and maxim</w:t>
      </w:r>
      <w:r>
        <w:rPr>
          <w:rFonts w:asciiTheme="majorHAnsi" w:eastAsia="Times New Roman" w:hAnsiTheme="majorHAnsi" w:cstheme="majorHAnsi"/>
          <w:lang w:val="en-GB" w:eastAsia="fr-FR"/>
          <w14:ligatures w14:val="none"/>
        </w:rPr>
        <w:t>um amounts:</w:t>
      </w:r>
    </w:p>
    <w:p w:rsidR="00E96343" w:rsidRDefault="00190EF8">
      <w:pPr>
        <w:spacing w:before="100" w:beforeAutospacing="1" w:after="100" w:afterAutospacing="1" w:line="240" w:lineRule="auto"/>
        <w:rPr>
          <w:rFonts w:asciiTheme="majorHAnsi" w:eastAsia="Times New Roman" w:hAnsiTheme="majorHAnsi" w:cstheme="majorHAnsi"/>
          <w:lang w:val="en-GB" w:eastAsia="fr-FR"/>
          <w14:ligatures w14:val="none"/>
        </w:rPr>
      </w:pPr>
      <w:r>
        <w:rPr>
          <w:rFonts w:asciiTheme="majorHAnsi" w:eastAsia="Times New Roman" w:hAnsiTheme="majorHAnsi" w:cstheme="majorHAnsi"/>
          <w:lang w:val="en-GB" w:eastAsia="fr-FR"/>
          <w14:ligatures w14:val="none"/>
        </w:rPr>
        <w:t xml:space="preserve">Minimum amount: amount of the first purchase order (excluding VAT): </w:t>
      </w:r>
      <w:r>
        <w:rPr>
          <w:rFonts w:asciiTheme="majorHAnsi" w:eastAsia="Times New Roman" w:hAnsiTheme="majorHAnsi" w:cstheme="majorHAnsi"/>
          <w:b/>
          <w:i/>
          <w:u w:val="single"/>
          <w:lang w:val="en-GB" w:eastAsia="fr-FR"/>
          <w14:ligatures w14:val="none"/>
        </w:rPr>
        <w:t>0 €</w:t>
      </w:r>
      <w:r>
        <w:rPr>
          <w:rFonts w:asciiTheme="majorHAnsi" w:eastAsia="Times New Roman" w:hAnsiTheme="majorHAnsi" w:cstheme="majorHAnsi"/>
          <w:lang w:val="en-GB" w:eastAsia="fr-FR"/>
          <w14:ligatures w14:val="none"/>
        </w:rPr>
        <w:t>.</w:t>
      </w:r>
    </w:p>
    <w:p w:rsidR="00E96343" w:rsidRDefault="00190EF8">
      <w:pPr>
        <w:spacing w:before="100" w:beforeAutospacing="1" w:after="100" w:afterAutospacing="1" w:line="240" w:lineRule="auto"/>
        <w:rPr>
          <w:rFonts w:asciiTheme="majorHAnsi" w:eastAsia="Times New Roman" w:hAnsiTheme="majorHAnsi" w:cstheme="majorHAnsi"/>
          <w:b/>
          <w:i/>
          <w:u w:val="single"/>
          <w:lang w:val="en-GB" w:eastAsia="fr-FR"/>
          <w14:ligatures w14:val="none"/>
        </w:rPr>
      </w:pPr>
      <w:r>
        <w:rPr>
          <w:rFonts w:asciiTheme="majorHAnsi" w:eastAsia="Times New Roman" w:hAnsiTheme="majorHAnsi" w:cstheme="majorHAnsi"/>
          <w:lang w:val="en-GB" w:eastAsia="fr-FR"/>
          <w14:ligatures w14:val="none"/>
        </w:rPr>
        <w:t xml:space="preserve">Maximum amount over the total duration of the contract: </w:t>
      </w:r>
      <w:r>
        <w:rPr>
          <w:rFonts w:asciiTheme="majorHAnsi" w:eastAsia="Times New Roman" w:hAnsiTheme="majorHAnsi" w:cstheme="majorHAnsi"/>
          <w:b/>
          <w:i/>
          <w:u w:val="single"/>
          <w:lang w:val="en-GB" w:eastAsia="fr-FR"/>
          <w14:ligatures w14:val="none"/>
        </w:rPr>
        <w:t>1 000 000 € (</w:t>
      </w:r>
      <w:r>
        <w:rPr>
          <w:rFonts w:asciiTheme="majorHAnsi" w:eastAsia="Times New Roman" w:hAnsiTheme="majorHAnsi" w:cstheme="majorHAnsi"/>
          <w:lang w:val="en-GB" w:eastAsia="fr-FR"/>
          <w14:ligatures w14:val="none"/>
        </w:rPr>
        <w:t>excluding VAT)</w:t>
      </w:r>
    </w:p>
    <w:p w:rsidR="00E96343" w:rsidRDefault="00190EF8">
      <w:pPr>
        <w:pStyle w:val="Titre2"/>
        <w:rPr>
          <w:rFonts w:cstheme="majorHAnsi"/>
          <w:lang w:val="en-GB"/>
        </w:rPr>
      </w:pPr>
      <w:bookmarkStart w:id="15" w:name="_Toc210376496"/>
      <w:r>
        <w:rPr>
          <w:rFonts w:cstheme="majorHAnsi"/>
          <w:lang w:val="en-GB"/>
        </w:rPr>
        <w:t>Duration of the framework</w:t>
      </w:r>
      <w:bookmarkEnd w:id="15"/>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The validity period of the contract runs from the date of its notification until the end date of the contractual warranty for the ship's construction. The validity period is therefore estimated to be six years.</w:t>
      </w:r>
    </w:p>
    <w:p w:rsidR="00E96343" w:rsidRDefault="00190EF8">
      <w:pPr>
        <w:pStyle w:val="Titre2"/>
        <w:rPr>
          <w:rFonts w:cstheme="majorHAnsi"/>
          <w:lang w:val="en-GB"/>
        </w:rPr>
      </w:pPr>
      <w:bookmarkStart w:id="16" w:name="_Toc210376497"/>
      <w:r>
        <w:rPr>
          <w:rFonts w:cstheme="majorHAnsi"/>
          <w:lang w:val="en-GB"/>
        </w:rPr>
        <w:t>Optional additional services</w:t>
      </w:r>
      <w:bookmarkEnd w:id="16"/>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This contract d</w:t>
      </w:r>
      <w:r>
        <w:rPr>
          <w:rFonts w:asciiTheme="majorHAnsi" w:hAnsiTheme="majorHAnsi" w:cstheme="majorHAnsi"/>
          <w:lang w:val="en-GB"/>
        </w:rPr>
        <w:t xml:space="preserve">oes not include any optional additional services. </w:t>
      </w:r>
    </w:p>
    <w:p w:rsidR="00E96343" w:rsidRDefault="00190EF8">
      <w:pPr>
        <w:pStyle w:val="Titre2"/>
        <w:rPr>
          <w:rFonts w:cstheme="majorHAnsi"/>
          <w:lang w:val="en-GB"/>
        </w:rPr>
      </w:pPr>
      <w:bookmarkStart w:id="17" w:name="_Toc210376498"/>
      <w:r>
        <w:rPr>
          <w:rFonts w:cstheme="majorHAnsi"/>
          <w:lang w:val="en-GB"/>
        </w:rPr>
        <w:t>Alternative proposals</w:t>
      </w:r>
      <w:bookmarkEnd w:id="17"/>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Alternative proposals are not allowed.</w:t>
      </w:r>
    </w:p>
    <w:p w:rsidR="00E96343" w:rsidRDefault="00190EF8">
      <w:pPr>
        <w:pStyle w:val="Titre1"/>
        <w:rPr>
          <w:rFonts w:cstheme="majorHAnsi"/>
          <w:lang w:val="en-GB"/>
        </w:rPr>
      </w:pPr>
      <w:bookmarkStart w:id="18" w:name="_Toc210376499"/>
      <w:r>
        <w:rPr>
          <w:rFonts w:cstheme="majorHAnsi"/>
          <w:lang w:val="en-GB"/>
        </w:rPr>
        <w:t>Conduct of the competitive procedure with negotiations</w:t>
      </w:r>
      <w:bookmarkEnd w:id="18"/>
      <w:r>
        <w:rPr>
          <w:rFonts w:cstheme="majorHAnsi"/>
          <w:lang w:val="en-GB"/>
        </w:rPr>
        <w:t xml:space="preserve"> </w:t>
      </w:r>
    </w:p>
    <w:p w:rsidR="00E96343" w:rsidRDefault="00190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HAnsi" w:hAnsiTheme="majorHAnsi" w:cstheme="majorHAnsi"/>
          <w:lang w:val="en-GB"/>
        </w:rPr>
      </w:pPr>
      <w:r>
        <w:rPr>
          <w:rFonts w:asciiTheme="majorHAnsi" w:hAnsiTheme="majorHAnsi" w:cstheme="majorHAnsi"/>
          <w:lang w:val="en-GB"/>
        </w:rPr>
        <w:t>The procedure takes place in two phases:</w:t>
      </w:r>
    </w:p>
    <w:p w:rsidR="00E96343" w:rsidRDefault="00190EF8">
      <w:pPr>
        <w:pStyle w:val="Paragraphedelist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ajorHAnsi" w:hAnsiTheme="majorHAnsi" w:cstheme="majorHAnsi"/>
          <w:lang w:val="en-GB"/>
        </w:rPr>
      </w:pPr>
      <w:r>
        <w:rPr>
          <w:rFonts w:asciiTheme="majorHAnsi" w:hAnsiTheme="majorHAnsi" w:cstheme="majorHAnsi"/>
          <w:lang w:val="en-GB"/>
        </w:rPr>
        <w:t>an application phase, in which candidates will</w:t>
      </w:r>
      <w:r>
        <w:rPr>
          <w:rFonts w:asciiTheme="majorHAnsi" w:hAnsiTheme="majorHAnsi" w:cstheme="majorHAnsi"/>
          <w:lang w:val="en-GB"/>
        </w:rPr>
        <w:t xml:space="preserve"> be selected,</w:t>
      </w:r>
    </w:p>
    <w:p w:rsidR="00E96343" w:rsidRDefault="00190EF8">
      <w:pPr>
        <w:pStyle w:val="Paragraphedeliste"/>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heme="majorHAnsi" w:hAnsiTheme="majorHAnsi" w:cstheme="majorHAnsi"/>
          <w:lang w:val="en-GB"/>
        </w:rPr>
      </w:pPr>
      <w:r>
        <w:rPr>
          <w:rFonts w:asciiTheme="majorHAnsi" w:hAnsiTheme="majorHAnsi" w:cstheme="majorHAnsi"/>
          <w:lang w:val="en-GB"/>
        </w:rPr>
        <w:t>a bidding phase, in which the best offer from selected candidates will be selected.</w:t>
      </w:r>
    </w:p>
    <w:p w:rsidR="00E96343" w:rsidRDefault="00190EF8">
      <w:pPr>
        <w:pStyle w:val="Titre2"/>
        <w:ind w:firstLine="0"/>
        <w:rPr>
          <w:rFonts w:cstheme="majorHAnsi"/>
          <w:lang w:val="en-GB"/>
        </w:rPr>
      </w:pPr>
      <w:bookmarkStart w:id="19" w:name="_Toc129274788"/>
      <w:bookmarkStart w:id="20" w:name="_Toc129274789"/>
      <w:bookmarkStart w:id="21" w:name="_Toc129274790"/>
      <w:bookmarkStart w:id="22" w:name="_Toc129350042"/>
      <w:bookmarkStart w:id="23" w:name="_Toc210376500"/>
      <w:bookmarkEnd w:id="19"/>
      <w:bookmarkEnd w:id="20"/>
      <w:bookmarkEnd w:id="21"/>
      <w:r>
        <w:rPr>
          <w:rFonts w:cstheme="majorHAnsi"/>
          <w:lang w:val="en-GB"/>
        </w:rPr>
        <w:t>Application Phase</w:t>
      </w:r>
      <w:bookmarkEnd w:id="22"/>
      <w:bookmarkEnd w:id="23"/>
    </w:p>
    <w:p w:rsidR="00E96343" w:rsidRDefault="00190EF8">
      <w:pPr>
        <w:rPr>
          <w:rFonts w:asciiTheme="majorHAnsi" w:hAnsiTheme="majorHAnsi" w:cstheme="majorHAnsi"/>
          <w:lang w:val="en-GB"/>
        </w:rPr>
      </w:pPr>
      <w:r>
        <w:rPr>
          <w:rFonts w:asciiTheme="majorHAnsi" w:hAnsiTheme="majorHAnsi" w:cstheme="majorHAnsi"/>
          <w:lang w:val="en-GB"/>
        </w:rPr>
        <w:t>Ifremer reviews applications and selects those allowed  to participate in the bidding phase.</w:t>
      </w:r>
    </w:p>
    <w:p w:rsidR="00E96343" w:rsidRDefault="00190EF8">
      <w:pPr>
        <w:rPr>
          <w:rFonts w:asciiTheme="majorHAnsi" w:hAnsiTheme="majorHAnsi" w:cstheme="majorHAnsi"/>
          <w:lang w:val="en-GB"/>
        </w:rPr>
      </w:pPr>
      <w:r>
        <w:rPr>
          <w:rFonts w:asciiTheme="majorHAnsi" w:hAnsiTheme="majorHAnsi" w:cstheme="majorHAnsi"/>
          <w:lang w:val="en-GB"/>
        </w:rPr>
        <w:t xml:space="preserve">Ifremer excludes: </w:t>
      </w:r>
    </w:p>
    <w:p w:rsidR="00E96343" w:rsidRDefault="00190EF8">
      <w:pPr>
        <w:pStyle w:val="Liste"/>
        <w:rPr>
          <w:rFonts w:asciiTheme="majorHAnsi" w:hAnsiTheme="majorHAnsi" w:cstheme="majorHAnsi"/>
          <w:lang w:val="en-GB"/>
        </w:rPr>
      </w:pPr>
      <w:r>
        <w:rPr>
          <w:rFonts w:asciiTheme="majorHAnsi" w:hAnsiTheme="majorHAnsi" w:cstheme="majorHAnsi"/>
          <w:lang w:val="en-GB"/>
        </w:rPr>
        <w:t>Applications submitted late,</w:t>
      </w:r>
    </w:p>
    <w:p w:rsidR="00E96343" w:rsidRDefault="00190EF8">
      <w:pPr>
        <w:pStyle w:val="Liste"/>
        <w:rPr>
          <w:rFonts w:asciiTheme="majorHAnsi" w:hAnsiTheme="majorHAnsi" w:cstheme="majorHAnsi"/>
          <w:lang w:val="en-GB"/>
        </w:rPr>
      </w:pPr>
      <w:r>
        <w:rPr>
          <w:rFonts w:asciiTheme="majorHAnsi" w:hAnsiTheme="majorHAnsi" w:cstheme="majorHAnsi"/>
          <w:lang w:val="en-GB"/>
        </w:rPr>
        <w:lastRenderedPageBreak/>
        <w:t xml:space="preserve">Applicants not allowed to bid, </w:t>
      </w:r>
    </w:p>
    <w:p w:rsidR="00E96343" w:rsidRDefault="00190EF8">
      <w:pPr>
        <w:pStyle w:val="Liste"/>
        <w:rPr>
          <w:rFonts w:asciiTheme="majorHAnsi" w:hAnsiTheme="majorHAnsi" w:cstheme="majorHAnsi"/>
          <w:lang w:val="en-GB"/>
        </w:rPr>
      </w:pPr>
      <w:r>
        <w:rPr>
          <w:rFonts w:asciiTheme="majorHAnsi" w:hAnsiTheme="majorHAnsi" w:cstheme="majorHAnsi"/>
          <w:lang w:val="en-GB"/>
        </w:rPr>
        <w:t>Bids not following specified formalities,</w:t>
      </w:r>
    </w:p>
    <w:p w:rsidR="00E96343" w:rsidRDefault="00190EF8">
      <w:pPr>
        <w:pStyle w:val="Liste"/>
        <w:rPr>
          <w:rFonts w:asciiTheme="majorHAnsi" w:hAnsiTheme="majorHAnsi" w:cstheme="majorHAnsi"/>
          <w:lang w:val="en-GB"/>
        </w:rPr>
      </w:pPr>
      <w:r>
        <w:rPr>
          <w:rFonts w:asciiTheme="majorHAnsi" w:hAnsiTheme="majorHAnsi" w:cstheme="majorHAnsi"/>
          <w:lang w:val="en-GB"/>
        </w:rPr>
        <w:t>Applicants failing to meet participating conditions set by the contracting authority or failing to produce necessary documents, evidence, additional documents or explanations requir</w:t>
      </w:r>
      <w:r>
        <w:rPr>
          <w:rFonts w:asciiTheme="majorHAnsi" w:hAnsiTheme="majorHAnsi" w:cstheme="majorHAnsi"/>
          <w:lang w:val="en-GB"/>
        </w:rPr>
        <w:t>ed by the contracting authority.</w:t>
      </w:r>
    </w:p>
    <w:p w:rsidR="00E96343" w:rsidRDefault="00190EF8">
      <w:pPr>
        <w:rPr>
          <w:rFonts w:asciiTheme="majorHAnsi" w:hAnsiTheme="majorHAnsi" w:cstheme="majorHAnsi"/>
          <w:lang w:val="en-GB"/>
        </w:rPr>
      </w:pPr>
      <w:r>
        <w:rPr>
          <w:rFonts w:asciiTheme="majorHAnsi" w:hAnsiTheme="majorHAnsi" w:cstheme="majorHAnsi"/>
          <w:b/>
          <w:u w:val="single"/>
          <w:lang w:val="en-GB"/>
        </w:rPr>
        <w:t>Number of bidders selected for the tender is THREE (3).</w:t>
      </w:r>
      <w:r>
        <w:rPr>
          <w:rFonts w:asciiTheme="majorHAnsi" w:hAnsiTheme="majorHAnsi" w:cstheme="majorHAnsi"/>
          <w:lang w:val="en-GB"/>
        </w:rPr>
        <w:t xml:space="preserve"> Should there be too few bidders, the number may be reduced. A single bidder may be sufficient to commence bidding. Bidders not selected will receive notification of th</w:t>
      </w:r>
      <w:r>
        <w:rPr>
          <w:rFonts w:asciiTheme="majorHAnsi" w:hAnsiTheme="majorHAnsi" w:cstheme="majorHAnsi"/>
          <w:lang w:val="en-GB"/>
        </w:rPr>
        <w:t>e decision.</w:t>
      </w:r>
    </w:p>
    <w:p w:rsidR="00E96343" w:rsidRDefault="00E96343">
      <w:pPr>
        <w:rPr>
          <w:rFonts w:asciiTheme="majorHAnsi" w:hAnsiTheme="majorHAnsi" w:cstheme="majorHAnsi"/>
          <w:lang w:val="en-GB"/>
        </w:rPr>
      </w:pPr>
    </w:p>
    <w:p w:rsidR="00E96343" w:rsidRDefault="00190EF8">
      <w:pPr>
        <w:pStyle w:val="Titre2"/>
        <w:ind w:firstLine="0"/>
        <w:rPr>
          <w:rFonts w:cstheme="majorHAnsi"/>
          <w:lang w:val="en-GB"/>
        </w:rPr>
      </w:pPr>
      <w:bookmarkStart w:id="24" w:name="_Toc129350043"/>
      <w:bookmarkStart w:id="25" w:name="_Toc210376501"/>
      <w:r>
        <w:rPr>
          <w:rFonts w:cstheme="majorHAnsi"/>
          <w:lang w:val="en-GB"/>
        </w:rPr>
        <w:t>Bidding Phase</w:t>
      </w:r>
      <w:bookmarkEnd w:id="24"/>
      <w:bookmarkEnd w:id="25"/>
    </w:p>
    <w:p w:rsidR="00E96343" w:rsidRDefault="00190EF8">
      <w:pPr>
        <w:rPr>
          <w:rFonts w:asciiTheme="majorHAnsi" w:hAnsiTheme="majorHAnsi" w:cstheme="majorHAnsi"/>
          <w:lang w:val="en-GB"/>
        </w:rPr>
      </w:pPr>
      <w:r>
        <w:rPr>
          <w:rFonts w:asciiTheme="majorHAnsi" w:hAnsiTheme="majorHAnsi" w:cstheme="majorHAnsi"/>
          <w:lang w:val="en-GB"/>
        </w:rPr>
        <w:t>All selected candidates will receive written invitation to participate in the bidding.</w:t>
      </w:r>
    </w:p>
    <w:p w:rsidR="00E96343" w:rsidRDefault="00190EF8">
      <w:pPr>
        <w:rPr>
          <w:rFonts w:asciiTheme="majorHAnsi" w:hAnsiTheme="majorHAnsi" w:cstheme="majorHAnsi"/>
          <w:lang w:val="en-GB"/>
        </w:rPr>
      </w:pPr>
      <w:r>
        <w:rPr>
          <w:rFonts w:asciiTheme="majorHAnsi" w:hAnsiTheme="majorHAnsi" w:cstheme="majorHAnsi"/>
          <w:lang w:val="en-GB"/>
        </w:rPr>
        <w:t>The invitation will at least include an invitation to submit an initial bid.</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lang w:val="en-GB"/>
        </w:rPr>
        <w:t xml:space="preserve">Applicants shall have at least </w:t>
      </w:r>
      <w:r>
        <w:rPr>
          <w:rFonts w:asciiTheme="majorHAnsi" w:hAnsiTheme="majorHAnsi" w:cstheme="majorHAnsi"/>
          <w:b/>
          <w:bCs/>
          <w:lang w:val="en-GB"/>
        </w:rPr>
        <w:t>30 calendar days</w:t>
      </w:r>
      <w:r>
        <w:rPr>
          <w:rFonts w:asciiTheme="majorHAnsi" w:hAnsiTheme="majorHAnsi" w:cstheme="majorHAnsi"/>
          <w:lang w:val="en-GB"/>
        </w:rPr>
        <w:t xml:space="preserve"> from invitation </w:t>
      </w:r>
      <w:r>
        <w:rPr>
          <w:rFonts w:asciiTheme="majorHAnsi" w:hAnsiTheme="majorHAnsi" w:cstheme="majorHAnsi"/>
          <w:lang w:val="en-GB"/>
        </w:rPr>
        <w:t xml:space="preserve">receipt to submit an initial bid. </w:t>
      </w:r>
    </w:p>
    <w:p w:rsidR="00E96343" w:rsidRDefault="00190EF8">
      <w:pPr>
        <w:rPr>
          <w:rFonts w:asciiTheme="majorHAnsi" w:hAnsiTheme="majorHAnsi" w:cstheme="majorHAnsi"/>
          <w:lang w:val="en-GB"/>
        </w:rPr>
      </w:pPr>
      <w:r>
        <w:rPr>
          <w:rFonts w:asciiTheme="majorHAnsi" w:hAnsiTheme="majorHAnsi" w:cstheme="majorHAnsi"/>
          <w:lang w:val="en-GB"/>
        </w:rPr>
        <w:t>Ifremer reserves the right to award the contract on the basis of the initial offers without conducting negotiations if an offer is notifiable as it stands. On the other hand, if Ifremer begins negotiations, these will tak</w:t>
      </w:r>
      <w:r>
        <w:rPr>
          <w:rFonts w:asciiTheme="majorHAnsi" w:hAnsiTheme="majorHAnsi" w:cstheme="majorHAnsi"/>
          <w:lang w:val="en-GB"/>
        </w:rPr>
        <w:t>e place according to the following procedures:</w:t>
      </w:r>
    </w:p>
    <w:p w:rsidR="00E96343" w:rsidRDefault="00E96343">
      <w:pPr>
        <w:pStyle w:val="PrformatHTML"/>
        <w:rPr>
          <w:rFonts w:asciiTheme="majorHAnsi" w:eastAsiaTheme="minorHAnsi" w:hAnsiTheme="majorHAnsi" w:cstheme="majorHAnsi"/>
          <w:sz w:val="22"/>
          <w:szCs w:val="22"/>
          <w:lang w:val="en-GB" w:eastAsia="en-US"/>
        </w:rPr>
      </w:pPr>
    </w:p>
    <w:p w:rsidR="00E96343" w:rsidRDefault="00190EF8">
      <w:pPr>
        <w:rPr>
          <w:rFonts w:asciiTheme="majorHAnsi" w:hAnsiTheme="majorHAnsi" w:cstheme="majorHAnsi"/>
          <w:lang w:val="en-GB"/>
        </w:rPr>
      </w:pPr>
      <w:r>
        <w:rPr>
          <w:rFonts w:asciiTheme="majorHAnsi" w:hAnsiTheme="majorHAnsi" w:cstheme="majorHAnsi"/>
          <w:lang w:val="en-GB"/>
        </w:rPr>
        <w:t>- Candidates will be consulted and heard under conditions of strict equality,</w:t>
      </w:r>
    </w:p>
    <w:p w:rsidR="00E96343" w:rsidRDefault="00190EF8">
      <w:pPr>
        <w:rPr>
          <w:rFonts w:asciiTheme="majorHAnsi" w:hAnsiTheme="majorHAnsi" w:cstheme="majorHAnsi"/>
          <w:lang w:val="en-GB"/>
        </w:rPr>
      </w:pPr>
      <w:r>
        <w:rPr>
          <w:rFonts w:asciiTheme="majorHAnsi" w:hAnsiTheme="majorHAnsi" w:cstheme="majorHAnsi"/>
          <w:lang w:val="en-GB"/>
        </w:rPr>
        <w:t>- Ifremer may ask each bidder</w:t>
      </w:r>
      <w:r>
        <w:rPr>
          <w:rFonts w:asciiTheme="majorHAnsi" w:hAnsiTheme="majorHAnsi" w:cstheme="majorHAnsi"/>
          <w:lang w:val="en-GB"/>
        </w:rPr>
        <w:t xml:space="preserve"> to complete, clarify or even modify their proposal without the said additions, clarifications or modifications being substantial in relation to the candidate's initial offer,</w:t>
      </w:r>
    </w:p>
    <w:p w:rsidR="00E96343" w:rsidRDefault="00190EF8">
      <w:pPr>
        <w:rPr>
          <w:rFonts w:asciiTheme="majorHAnsi" w:hAnsiTheme="majorHAnsi" w:cstheme="majorHAnsi"/>
          <w:lang w:val="en-GB"/>
        </w:rPr>
      </w:pPr>
      <w:r>
        <w:rPr>
          <w:rFonts w:asciiTheme="majorHAnsi" w:hAnsiTheme="majorHAnsi" w:cstheme="majorHAnsi"/>
          <w:lang w:val="en-GB"/>
        </w:rPr>
        <w:t xml:space="preserve">- The negotiation procedure may take place in successive phases so as to reduce </w:t>
      </w:r>
      <w:r>
        <w:rPr>
          <w:rFonts w:asciiTheme="majorHAnsi" w:hAnsiTheme="majorHAnsi" w:cstheme="majorHAnsi"/>
          <w:lang w:val="en-GB"/>
        </w:rPr>
        <w:t>the number of offers to be negotiated by applying the award criteria indicated in Article 9 below. Ifremer reserves the right to reduce the number of candidates for each offer. In case of insufficient bidders, the number of accepted bidders may be reduced,</w:t>
      </w:r>
      <w:r>
        <w:rPr>
          <w:rFonts w:asciiTheme="majorHAnsi" w:hAnsiTheme="majorHAnsi" w:cstheme="majorHAnsi"/>
          <w:lang w:val="en-GB"/>
        </w:rPr>
        <w:t xml:space="preserve"> a single bidder may then be sufficient to begin the phase of submission of the second bid. Tenderers not selected at the end of each phase will be informed of the decision concerning them. These bidders will no longer be able to submit bids.</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lang w:val="en-GB"/>
        </w:rPr>
        <w:t>- It is also</w:t>
      </w:r>
      <w:r>
        <w:rPr>
          <w:rFonts w:asciiTheme="majorHAnsi" w:hAnsiTheme="majorHAnsi" w:cstheme="majorHAnsi"/>
          <w:lang w:val="en-GB"/>
        </w:rPr>
        <w:t xml:space="preserve"> specified that:</w:t>
      </w:r>
    </w:p>
    <w:p w:rsidR="00E96343" w:rsidRDefault="00190EF8">
      <w:pPr>
        <w:pStyle w:val="Paragraphedeliste"/>
        <w:numPr>
          <w:ilvl w:val="0"/>
          <w:numId w:val="12"/>
        </w:numPr>
        <w:spacing w:before="0" w:after="160" w:line="240" w:lineRule="auto"/>
        <w:rPr>
          <w:rFonts w:asciiTheme="majorHAnsi" w:hAnsiTheme="majorHAnsi" w:cstheme="majorHAnsi"/>
          <w:lang w:val="en-GB"/>
        </w:rPr>
      </w:pPr>
      <w:r>
        <w:rPr>
          <w:rFonts w:asciiTheme="majorHAnsi" w:hAnsiTheme="majorHAnsi" w:cstheme="majorHAnsi"/>
          <w:lang w:val="en-GB"/>
        </w:rPr>
        <w:t>During the negotiation(s), Ifremer will discuss with bidders the content of their offer on all aspects of the contract, whether functional, technical, methodological, legal or financial, with the exception of the minimum requirements and t</w:t>
      </w:r>
      <w:r>
        <w:rPr>
          <w:rFonts w:asciiTheme="majorHAnsi" w:hAnsiTheme="majorHAnsi" w:cstheme="majorHAnsi"/>
          <w:lang w:val="en-GB"/>
        </w:rPr>
        <w:t>he selection criteria for the offers.</w:t>
      </w:r>
    </w:p>
    <w:p w:rsidR="00E96343" w:rsidRDefault="00190EF8">
      <w:pPr>
        <w:pStyle w:val="Paragraphedeliste"/>
        <w:numPr>
          <w:ilvl w:val="0"/>
          <w:numId w:val="12"/>
        </w:numPr>
        <w:spacing w:before="0" w:after="160" w:line="240" w:lineRule="auto"/>
        <w:rPr>
          <w:rFonts w:asciiTheme="majorHAnsi" w:hAnsiTheme="majorHAnsi" w:cstheme="majorHAnsi"/>
          <w:lang w:val="en-GB"/>
        </w:rPr>
      </w:pPr>
      <w:r>
        <w:rPr>
          <w:rFonts w:asciiTheme="majorHAnsi" w:hAnsiTheme="majorHAnsi" w:cstheme="majorHAnsi"/>
          <w:lang w:val="en-GB"/>
        </w:rPr>
        <w:t xml:space="preserve">Ifremer will not communicate to other bidders any confidential solutions or information communicated as such by a candidate within the framework of the discussion, without the agreement of the latter (it will be up to </w:t>
      </w:r>
      <w:r>
        <w:rPr>
          <w:rFonts w:asciiTheme="majorHAnsi" w:hAnsiTheme="majorHAnsi" w:cstheme="majorHAnsi"/>
          <w:lang w:val="en-GB"/>
        </w:rPr>
        <w:t>the candidates to specify the elements of their proposal that are confidential);</w:t>
      </w:r>
    </w:p>
    <w:p w:rsidR="00E96343" w:rsidRDefault="00190EF8">
      <w:pPr>
        <w:pStyle w:val="Paragraphedeliste"/>
        <w:numPr>
          <w:ilvl w:val="0"/>
          <w:numId w:val="12"/>
        </w:numPr>
        <w:spacing w:before="0" w:after="160" w:line="240" w:lineRule="auto"/>
        <w:rPr>
          <w:rFonts w:asciiTheme="majorHAnsi" w:hAnsiTheme="majorHAnsi" w:cstheme="majorHAnsi"/>
          <w:lang w:val="en-GB"/>
        </w:rPr>
      </w:pPr>
      <w:r>
        <w:rPr>
          <w:rFonts w:asciiTheme="majorHAnsi" w:hAnsiTheme="majorHAnsi" w:cstheme="majorHAnsi"/>
          <w:lang w:val="en-GB"/>
        </w:rPr>
        <w:t>Negotiations will be conducted in accordance with the principles of transparency, equal treatment of candidates and respect for industrial and commercial confidentiality.</w:t>
      </w:r>
    </w:p>
    <w:p w:rsidR="00E96343" w:rsidRDefault="00190EF8">
      <w:pPr>
        <w:rPr>
          <w:rFonts w:asciiTheme="majorHAnsi" w:hAnsiTheme="majorHAnsi" w:cstheme="majorHAnsi"/>
          <w:lang w:val="en-GB"/>
        </w:rPr>
      </w:pPr>
      <w:r>
        <w:rPr>
          <w:rFonts w:asciiTheme="majorHAnsi" w:hAnsiTheme="majorHAnsi" w:cstheme="majorHAnsi"/>
          <w:lang w:val="en-GB"/>
        </w:rPr>
        <w:t>Duri</w:t>
      </w:r>
      <w:r>
        <w:rPr>
          <w:rFonts w:asciiTheme="majorHAnsi" w:hAnsiTheme="majorHAnsi" w:cstheme="majorHAnsi"/>
          <w:lang w:val="en-GB"/>
        </w:rPr>
        <w:t>ng the negotiation period, meetings are scheduled with each remaining candidate.</w:t>
      </w:r>
    </w:p>
    <w:p w:rsidR="00E96343" w:rsidRDefault="00190EF8">
      <w:pPr>
        <w:rPr>
          <w:rFonts w:asciiTheme="majorHAnsi" w:hAnsiTheme="majorHAnsi" w:cstheme="majorHAnsi"/>
          <w:lang w:val="en-GB"/>
        </w:rPr>
      </w:pPr>
      <w:r>
        <w:rPr>
          <w:rFonts w:asciiTheme="majorHAnsi" w:hAnsiTheme="majorHAnsi" w:cstheme="majorHAnsi"/>
          <w:lang w:val="en-GB"/>
        </w:rPr>
        <w:lastRenderedPageBreak/>
        <w:t xml:space="preserve">This will be followed by exchanges via the online platform PLACE (www.marches-publics.gouv.fr). </w:t>
      </w:r>
    </w:p>
    <w:p w:rsidR="00E96343" w:rsidRDefault="00190EF8">
      <w:pPr>
        <w:rPr>
          <w:rFonts w:asciiTheme="majorHAnsi" w:hAnsiTheme="majorHAnsi" w:cstheme="majorHAnsi"/>
          <w:lang w:val="en-GB"/>
        </w:rPr>
      </w:pPr>
      <w:r>
        <w:rPr>
          <w:rFonts w:asciiTheme="majorHAnsi" w:hAnsiTheme="majorHAnsi" w:cstheme="majorHAnsi"/>
          <w:lang w:val="en-GB"/>
        </w:rPr>
        <w:t xml:space="preserve">As soon as Ifremer </w:t>
      </w:r>
      <w:r>
        <w:rPr>
          <w:rFonts w:asciiTheme="majorHAnsi" w:hAnsiTheme="majorHAnsi" w:cstheme="majorHAnsi"/>
          <w:lang w:val="en-GB"/>
        </w:rPr>
        <w:t xml:space="preserve">considers that the discussion has been concluded, the coordinator informs the bidders. </w:t>
      </w:r>
    </w:p>
    <w:p w:rsidR="00E96343" w:rsidRDefault="00190EF8">
      <w:pPr>
        <w:rPr>
          <w:rFonts w:asciiTheme="majorHAnsi" w:hAnsiTheme="majorHAnsi" w:cstheme="majorHAnsi"/>
          <w:lang w:val="en-GB"/>
        </w:rPr>
      </w:pPr>
      <w:r>
        <w:rPr>
          <w:rFonts w:asciiTheme="majorHAnsi" w:hAnsiTheme="majorHAnsi" w:cstheme="majorHAnsi"/>
          <w:lang w:val="en-GB"/>
        </w:rPr>
        <w:t>The coordinator invites the bidders to submit their final offer on the basis of the negotiations. The invitation to submit their final offer on the online platform PLAC</w:t>
      </w:r>
      <w:r>
        <w:rPr>
          <w:rFonts w:asciiTheme="majorHAnsi" w:hAnsiTheme="majorHAnsi" w:cstheme="majorHAnsi"/>
          <w:lang w:val="en-GB"/>
        </w:rPr>
        <w:t>E will include at least the date and time limit for the receipt of these offers, the address to which they are to be sent and the indication of the obligation to submit at least a commitment document.</w:t>
      </w:r>
    </w:p>
    <w:p w:rsidR="00E96343" w:rsidRDefault="00190EF8">
      <w:pPr>
        <w:pStyle w:val="Titre1"/>
        <w:rPr>
          <w:rFonts w:cstheme="majorHAnsi"/>
          <w:lang w:val="en-GB"/>
        </w:rPr>
      </w:pPr>
      <w:bookmarkStart w:id="26" w:name="_Toc210376502"/>
      <w:r>
        <w:rPr>
          <w:rFonts w:cstheme="majorHAnsi"/>
          <w:lang w:val="en-GB"/>
        </w:rPr>
        <w:t>Consultation file – application phase</w:t>
      </w:r>
      <w:bookmarkEnd w:id="26"/>
      <w:r>
        <w:rPr>
          <w:rFonts w:cstheme="majorHAnsi"/>
          <w:lang w:val="en-GB"/>
        </w:rPr>
        <w:t xml:space="preserve"> </w:t>
      </w:r>
    </w:p>
    <w:p w:rsidR="00E96343" w:rsidRDefault="00190EF8">
      <w:pPr>
        <w:pStyle w:val="Titre2"/>
        <w:rPr>
          <w:rFonts w:cstheme="majorHAnsi"/>
          <w:lang w:val="en-GB"/>
        </w:rPr>
      </w:pPr>
      <w:bookmarkStart w:id="27" w:name="_Toc210376503"/>
      <w:r>
        <w:rPr>
          <w:rFonts w:cstheme="majorHAnsi"/>
          <w:lang w:val="en-GB"/>
        </w:rPr>
        <w:t>Consultation fil</w:t>
      </w:r>
      <w:r>
        <w:rPr>
          <w:rFonts w:cstheme="majorHAnsi"/>
          <w:lang w:val="en-GB"/>
        </w:rPr>
        <w:t>e content</w:t>
      </w:r>
      <w:bookmarkEnd w:id="27"/>
    </w:p>
    <w:p w:rsidR="00E96343" w:rsidRDefault="00190EF8">
      <w:pPr>
        <w:rPr>
          <w:rFonts w:asciiTheme="majorHAnsi" w:hAnsiTheme="majorHAnsi" w:cstheme="majorHAnsi"/>
          <w:lang w:val="en-GB"/>
        </w:rPr>
      </w:pPr>
      <w:r>
        <w:rPr>
          <w:rFonts w:asciiTheme="majorHAnsi" w:hAnsiTheme="majorHAnsi" w:cstheme="majorHAnsi"/>
          <w:lang w:val="en-GB"/>
        </w:rPr>
        <w:t xml:space="preserve">The consultation file consists of the following documents: </w:t>
      </w:r>
    </w:p>
    <w:p w:rsidR="00E96343" w:rsidRDefault="00190EF8">
      <w:pPr>
        <w:pStyle w:val="Paragraphedeliste"/>
        <w:numPr>
          <w:ilvl w:val="0"/>
          <w:numId w:val="8"/>
        </w:numPr>
        <w:rPr>
          <w:rFonts w:asciiTheme="majorHAnsi" w:hAnsiTheme="majorHAnsi" w:cstheme="majorHAnsi"/>
          <w:lang w:val="en-GB"/>
        </w:rPr>
      </w:pPr>
      <w:r>
        <w:rPr>
          <w:rFonts w:asciiTheme="majorHAnsi" w:hAnsiTheme="majorHAnsi" w:cstheme="majorHAnsi"/>
          <w:lang w:val="en-GB"/>
        </w:rPr>
        <w:t>Rules of the call for applications (RCA) in French and in English,</w:t>
      </w:r>
    </w:p>
    <w:p w:rsidR="00E96343" w:rsidRDefault="00190EF8">
      <w:pPr>
        <w:pStyle w:val="Paragraphedeliste"/>
        <w:numPr>
          <w:ilvl w:val="0"/>
          <w:numId w:val="8"/>
        </w:numPr>
        <w:rPr>
          <w:rFonts w:asciiTheme="majorHAnsi" w:hAnsiTheme="majorHAnsi" w:cstheme="majorHAnsi"/>
          <w:lang w:val="en-GB"/>
        </w:rPr>
      </w:pPr>
      <w:bookmarkStart w:id="28" w:name="_Hlk201651634"/>
      <w:r>
        <w:rPr>
          <w:rFonts w:asciiTheme="majorHAnsi" w:hAnsiTheme="majorHAnsi" w:cstheme="majorHAnsi"/>
          <w:lang w:val="en-GB"/>
        </w:rPr>
        <w:t>Preliminary functional specification of the vessel in English</w:t>
      </w:r>
      <w:bookmarkEnd w:id="28"/>
    </w:p>
    <w:p w:rsidR="00E96343" w:rsidRDefault="00190EF8">
      <w:pPr>
        <w:pStyle w:val="Paragraphedeliste"/>
        <w:numPr>
          <w:ilvl w:val="0"/>
          <w:numId w:val="8"/>
        </w:numPr>
        <w:rPr>
          <w:rFonts w:asciiTheme="majorHAnsi" w:hAnsiTheme="majorHAnsi" w:cstheme="majorHAnsi"/>
          <w:lang w:val="en-GB"/>
        </w:rPr>
      </w:pPr>
      <w:r>
        <w:rPr>
          <w:rFonts w:asciiTheme="majorHAnsi" w:hAnsiTheme="majorHAnsi" w:cstheme="majorHAnsi"/>
          <w:lang w:val="en-GB"/>
        </w:rPr>
        <w:t>Appendix 1: DC1 in French and English</w:t>
      </w:r>
    </w:p>
    <w:p w:rsidR="00E96343" w:rsidRDefault="00190EF8">
      <w:pPr>
        <w:pStyle w:val="Paragraphedeliste"/>
        <w:numPr>
          <w:ilvl w:val="0"/>
          <w:numId w:val="14"/>
        </w:numPr>
        <w:rPr>
          <w:rFonts w:asciiTheme="majorHAnsi" w:hAnsiTheme="majorHAnsi" w:cstheme="majorHAnsi"/>
          <w:lang w:val="en-GB"/>
        </w:rPr>
      </w:pPr>
      <w:r>
        <w:rPr>
          <w:rFonts w:asciiTheme="majorHAnsi" w:hAnsiTheme="majorHAnsi" w:cstheme="majorHAnsi"/>
          <w:lang w:val="en-GB"/>
        </w:rPr>
        <w:t>Appendix 2: Sworn s</w:t>
      </w:r>
      <w:r>
        <w:rPr>
          <w:rFonts w:asciiTheme="majorHAnsi" w:hAnsiTheme="majorHAnsi" w:cstheme="majorHAnsi"/>
          <w:lang w:val="en-GB"/>
        </w:rPr>
        <w:t>tatement, in French and English,</w:t>
      </w:r>
    </w:p>
    <w:p w:rsidR="00E96343" w:rsidRDefault="00190EF8">
      <w:pPr>
        <w:pStyle w:val="Paragraphedeliste"/>
        <w:numPr>
          <w:ilvl w:val="0"/>
          <w:numId w:val="8"/>
        </w:numPr>
        <w:rPr>
          <w:rFonts w:asciiTheme="majorHAnsi" w:hAnsiTheme="majorHAnsi" w:cstheme="majorHAnsi"/>
          <w:lang w:val="en-GB"/>
        </w:rPr>
      </w:pPr>
      <w:r>
        <w:rPr>
          <w:rFonts w:asciiTheme="majorHAnsi" w:hAnsiTheme="majorHAnsi" w:cstheme="majorHAnsi"/>
          <w:lang w:val="en-GB"/>
        </w:rPr>
        <w:t>Appendix 3: Applicant file, in English,</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lang w:val="en-GB"/>
        </w:rPr>
        <w:t>For documents provided in French and in English, only French version shall be deemed authentic.</w:t>
      </w:r>
    </w:p>
    <w:p w:rsidR="00E96343" w:rsidRDefault="00190EF8">
      <w:pPr>
        <w:rPr>
          <w:rFonts w:asciiTheme="majorHAnsi" w:hAnsiTheme="majorHAnsi" w:cstheme="majorHAnsi"/>
          <w:b/>
          <w:lang w:val="en-GB"/>
        </w:rPr>
      </w:pPr>
      <w:r>
        <w:rPr>
          <w:rFonts w:asciiTheme="majorHAnsi" w:hAnsiTheme="majorHAnsi" w:cstheme="majorHAnsi"/>
          <w:b/>
          <w:lang w:val="en-GB"/>
        </w:rPr>
        <w:t>Tenderers may submit their application proposals in English or French.</w:t>
      </w:r>
    </w:p>
    <w:p w:rsidR="00E96343" w:rsidRDefault="00190EF8">
      <w:pPr>
        <w:pStyle w:val="Titre2"/>
        <w:rPr>
          <w:rFonts w:cstheme="majorHAnsi"/>
          <w:lang w:val="en-GB"/>
        </w:rPr>
      </w:pPr>
      <w:bookmarkStart w:id="29" w:name="_Toc210376504"/>
      <w:r>
        <w:rPr>
          <w:rFonts w:cstheme="majorHAnsi"/>
          <w:lang w:val="en-GB"/>
        </w:rPr>
        <w:t xml:space="preserve">How to receive </w:t>
      </w:r>
      <w:r>
        <w:rPr>
          <w:rFonts w:cstheme="majorHAnsi"/>
          <w:lang w:val="en-GB"/>
        </w:rPr>
        <w:t>the consultation file and to submit your bid – application phase</w:t>
      </w:r>
      <w:bookmarkEnd w:id="29"/>
      <w:r>
        <w:rPr>
          <w:rFonts w:cstheme="majorHAnsi"/>
          <w:lang w:val="en-GB"/>
        </w:rPr>
        <w:t xml:space="preserve"> </w:t>
      </w:r>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Applicants must use the website:</w:t>
      </w:r>
    </w:p>
    <w:p w:rsidR="00E96343" w:rsidRDefault="00190EF8">
      <w:pPr>
        <w:pStyle w:val="LienPlace"/>
        <w:rPr>
          <w:rFonts w:asciiTheme="majorHAnsi" w:hAnsiTheme="majorHAnsi" w:cstheme="majorHAnsi"/>
          <w:lang w:val="en-GB"/>
        </w:rPr>
      </w:pPr>
      <w:r>
        <w:rPr>
          <w:rFonts w:asciiTheme="majorHAnsi" w:hAnsiTheme="majorHAnsi" w:cstheme="majorHAnsi"/>
          <w:lang w:val="en-GB"/>
        </w:rPr>
        <w:t>https://www.marches-publics.gouv.fr/</w:t>
      </w:r>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Via the website, applicants may:</w:t>
      </w:r>
    </w:p>
    <w:p w:rsidR="00E96343" w:rsidRDefault="00190EF8">
      <w:pPr>
        <w:pStyle w:val="Liste"/>
        <w:rPr>
          <w:rFonts w:asciiTheme="majorHAnsi" w:hAnsiTheme="majorHAnsi" w:cstheme="majorHAnsi"/>
          <w:lang w:val="en-GB"/>
        </w:rPr>
      </w:pPr>
      <w:r>
        <w:rPr>
          <w:rFonts w:asciiTheme="majorHAnsi" w:hAnsiTheme="majorHAnsi" w:cstheme="majorHAnsi"/>
          <w:lang w:val="en-GB"/>
        </w:rPr>
        <w:t>Download the consultation file, the tender purpose, accept website access and use condi</w:t>
      </w:r>
      <w:r>
        <w:rPr>
          <w:rFonts w:asciiTheme="majorHAnsi" w:hAnsiTheme="majorHAnsi" w:cstheme="majorHAnsi"/>
          <w:lang w:val="en-GB"/>
        </w:rPr>
        <w:t>tions (technical requirements, etc)</w:t>
      </w:r>
    </w:p>
    <w:p w:rsidR="00E96343" w:rsidRDefault="00190EF8">
      <w:pPr>
        <w:pStyle w:val="Liste"/>
        <w:rPr>
          <w:rFonts w:asciiTheme="majorHAnsi" w:hAnsiTheme="majorHAnsi" w:cstheme="majorHAnsi"/>
          <w:lang w:val="en-GB"/>
        </w:rPr>
      </w:pPr>
      <w:r>
        <w:rPr>
          <w:rFonts w:asciiTheme="majorHAnsi" w:hAnsiTheme="majorHAnsi" w:cstheme="majorHAnsi"/>
          <w:lang w:val="en-GB"/>
        </w:rPr>
        <w:t xml:space="preserve">Send questions to the contracting authority about the consultation file prior to application submission, </w:t>
      </w:r>
    </w:p>
    <w:p w:rsidR="00E96343" w:rsidRDefault="00190EF8">
      <w:pPr>
        <w:pStyle w:val="Liste"/>
        <w:rPr>
          <w:rFonts w:asciiTheme="majorHAnsi" w:hAnsiTheme="majorHAnsi" w:cstheme="majorHAnsi"/>
          <w:lang w:val="en-GB"/>
        </w:rPr>
      </w:pPr>
      <w:r>
        <w:rPr>
          <w:rFonts w:asciiTheme="majorHAnsi" w:hAnsiTheme="majorHAnsi" w:cstheme="majorHAnsi"/>
          <w:lang w:val="en-GB"/>
        </w:rPr>
        <w:t>Respond to consultation by electronic means.</w:t>
      </w:r>
    </w:p>
    <w:p w:rsidR="00E96343" w:rsidRDefault="00E96343">
      <w:pPr>
        <w:pStyle w:val="Liste"/>
        <w:numPr>
          <w:ilvl w:val="0"/>
          <w:numId w:val="0"/>
        </w:numPr>
        <w:ind w:left="360"/>
        <w:rPr>
          <w:rFonts w:asciiTheme="majorHAnsi" w:hAnsiTheme="majorHAnsi" w:cstheme="majorHAnsi"/>
          <w:lang w:val="en-GB"/>
        </w:rPr>
      </w:pPr>
    </w:p>
    <w:p w:rsidR="00E96343" w:rsidRDefault="00190EF8">
      <w:pPr>
        <w:pStyle w:val="Rougegras"/>
        <w:rPr>
          <w:rFonts w:asciiTheme="majorHAnsi" w:hAnsiTheme="majorHAnsi" w:cstheme="majorHAnsi"/>
          <w:lang w:val="en-GB"/>
        </w:rPr>
      </w:pPr>
      <w:r>
        <w:rPr>
          <w:rFonts w:asciiTheme="majorHAnsi" w:hAnsiTheme="majorHAnsi" w:cstheme="majorHAnsi"/>
          <w:lang w:val="en-GB"/>
        </w:rPr>
        <w:t>Hard copy applications are prohibited.</w:t>
      </w:r>
    </w:p>
    <w:p w:rsidR="00E96343" w:rsidRDefault="00190EF8">
      <w:pPr>
        <w:pStyle w:val="Rougegras"/>
        <w:rPr>
          <w:rFonts w:asciiTheme="majorHAnsi" w:hAnsiTheme="majorHAnsi" w:cstheme="majorHAnsi"/>
          <w:lang w:val="en-GB"/>
        </w:rPr>
      </w:pPr>
      <w:r>
        <w:rPr>
          <w:rFonts w:asciiTheme="majorHAnsi" w:hAnsiTheme="majorHAnsi" w:cstheme="majorHAnsi"/>
          <w:lang w:val="en-GB"/>
        </w:rPr>
        <w:t>Bidders must submit ELECTRONI</w:t>
      </w:r>
      <w:r>
        <w:rPr>
          <w:rFonts w:asciiTheme="majorHAnsi" w:hAnsiTheme="majorHAnsi" w:cstheme="majorHAnsi"/>
          <w:lang w:val="en-GB"/>
        </w:rPr>
        <w:t>C BIDS VIA "PLACE", THE ONLINE GOVERNMENT PURCHASING PLATFORM.</w:t>
      </w:r>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Once the bid is uploaded to the website, a message informs the sender of successful receipt, which is confirmed by email (sent to provided email address) including record of receipt time and da</w:t>
      </w:r>
      <w:r>
        <w:rPr>
          <w:rFonts w:asciiTheme="majorHAnsi" w:hAnsiTheme="majorHAnsi" w:cstheme="majorHAnsi"/>
          <w:lang w:val="en-GB"/>
        </w:rPr>
        <w:t>te (for future reference).</w:t>
      </w:r>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 xml:space="preserve">In the absence of a successful receipt message or email confirmation, then the bid has not reached the contracting authority. Bidders must ensure emails the platform sends do not end up in their spam folders. </w:t>
      </w:r>
    </w:p>
    <w:p w:rsidR="00E96343" w:rsidRDefault="00E96343">
      <w:pPr>
        <w:spacing w:line="240" w:lineRule="auto"/>
        <w:rPr>
          <w:rFonts w:asciiTheme="majorHAnsi" w:eastAsia="Arial" w:hAnsiTheme="majorHAnsi" w:cstheme="majorHAnsi"/>
          <w:lang w:val="en-GB"/>
        </w:rPr>
      </w:pPr>
    </w:p>
    <w:p w:rsidR="00E96343" w:rsidRDefault="00190EF8">
      <w:pPr>
        <w:spacing w:before="0" w:after="0" w:line="240" w:lineRule="auto"/>
        <w:rPr>
          <w:rFonts w:asciiTheme="majorHAnsi" w:eastAsia="Arial" w:hAnsiTheme="majorHAnsi" w:cstheme="majorHAnsi"/>
          <w:b/>
          <w:bCs/>
          <w:u w:val="single"/>
          <w:lang w:val="en-GB"/>
          <w14:ligatures w14:val="none"/>
        </w:rPr>
      </w:pPr>
      <w:r>
        <w:rPr>
          <w:rFonts w:asciiTheme="majorHAnsi" w:eastAsia="Arial" w:hAnsiTheme="majorHAnsi" w:cstheme="majorHAnsi"/>
          <w:b/>
          <w:bCs/>
          <w:u w:val="single"/>
          <w:lang w:val="en-GB"/>
          <w14:ligatures w14:val="none"/>
        </w:rPr>
        <w:t>File pre</w:t>
      </w:r>
      <w:r>
        <w:rPr>
          <w:rFonts w:asciiTheme="majorHAnsi" w:eastAsia="Arial" w:hAnsiTheme="majorHAnsi" w:cstheme="majorHAnsi"/>
          <w:b/>
          <w:bCs/>
          <w:u w:val="single"/>
          <w:lang w:val="en-GB"/>
          <w14:ligatures w14:val="none"/>
        </w:rPr>
        <w:t xml:space="preserve">sentation and format </w:t>
      </w:r>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 xml:space="preserve">Accepted formats: .pdf, .docx, .xlsx, .ppt, .odt, .ods, .odp, and image formats: .jpg, .png and html documents. </w:t>
      </w:r>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Bidders must not use active code in replies, such as:</w:t>
      </w:r>
    </w:p>
    <w:p w:rsidR="00E96343" w:rsidRDefault="00190EF8">
      <w:pPr>
        <w:rPr>
          <w:rFonts w:asciiTheme="majorHAnsi" w:hAnsiTheme="majorHAnsi" w:cstheme="majorHAnsi"/>
        </w:rPr>
      </w:pPr>
      <w:r>
        <w:rPr>
          <w:rFonts w:asciiTheme="majorHAnsi" w:hAnsiTheme="majorHAnsi" w:cstheme="majorHAnsi"/>
        </w:rPr>
        <w:t>Executable formats: .exe, .com, .scr, etc. ; Macros, ActiveX, Apple</w:t>
      </w:r>
      <w:r>
        <w:rPr>
          <w:rFonts w:asciiTheme="majorHAnsi" w:hAnsiTheme="majorHAnsi" w:cstheme="majorHAnsi"/>
        </w:rPr>
        <w:t xml:space="preserve">ts, scripts, etc. </w:t>
      </w:r>
    </w:p>
    <w:p w:rsidR="00E96343" w:rsidRDefault="00E96343">
      <w:pPr>
        <w:spacing w:before="0" w:after="0" w:line="240" w:lineRule="auto"/>
        <w:rPr>
          <w:rFonts w:asciiTheme="majorHAnsi" w:eastAsia="Arial" w:hAnsiTheme="majorHAnsi" w:cstheme="majorHAnsi"/>
          <w14:ligatures w14:val="none"/>
        </w:rPr>
      </w:pPr>
    </w:p>
    <w:p w:rsidR="00E96343" w:rsidRDefault="00190EF8">
      <w:pPr>
        <w:spacing w:line="240" w:lineRule="auto"/>
        <w:rPr>
          <w:rFonts w:asciiTheme="majorHAnsi" w:eastAsia="Arial" w:hAnsiTheme="majorHAnsi" w:cstheme="majorHAnsi"/>
          <w:b/>
          <w:bCs/>
          <w:iCs/>
          <w:u w:val="single"/>
          <w:lang w:val="en-GB"/>
        </w:rPr>
      </w:pPr>
      <w:r>
        <w:rPr>
          <w:rFonts w:asciiTheme="majorHAnsi" w:eastAsia="Arial" w:hAnsiTheme="majorHAnsi" w:cstheme="majorHAnsi"/>
          <w:b/>
          <w:bCs/>
          <w:iCs/>
          <w:u w:val="single"/>
          <w:lang w:val="en-GB"/>
        </w:rPr>
        <w:t xml:space="preserve">Time stamping </w:t>
      </w:r>
    </w:p>
    <w:p w:rsidR="00E96343" w:rsidRDefault="00190EF8">
      <w:pPr>
        <w:rPr>
          <w:rFonts w:asciiTheme="majorHAnsi" w:hAnsiTheme="majorHAnsi" w:cstheme="majorHAnsi"/>
          <w:lang w:val="en-GB"/>
        </w:rPr>
      </w:pPr>
      <w:r>
        <w:rPr>
          <w:rFonts w:asciiTheme="majorHAnsi" w:hAnsiTheme="majorHAnsi" w:cstheme="majorHAnsi"/>
          <w:lang w:val="en-GB"/>
        </w:rPr>
        <w:t>All files sent by the platform are time stamped. All files submitted after the deadline are inadmissible. Time required to upload files is subject to the bidder's internet speed and document size. For example, it takes on</w:t>
      </w:r>
      <w:r>
        <w:rPr>
          <w:rFonts w:asciiTheme="majorHAnsi" w:hAnsiTheme="majorHAnsi" w:cstheme="majorHAnsi"/>
          <w:lang w:val="en-GB"/>
        </w:rPr>
        <w:t>e minute to upload a 1 Mb file with 128 Kbps bandwidth.</w:t>
      </w:r>
    </w:p>
    <w:p w:rsidR="00E96343" w:rsidRDefault="00E96343">
      <w:pPr>
        <w:spacing w:line="240" w:lineRule="auto"/>
        <w:rPr>
          <w:rFonts w:asciiTheme="majorHAnsi" w:eastAsia="Arial" w:hAnsiTheme="majorHAnsi" w:cstheme="majorHAnsi"/>
          <w:lang w:val="en-GB"/>
        </w:rPr>
      </w:pPr>
    </w:p>
    <w:p w:rsidR="00E96343" w:rsidRDefault="00190EF8">
      <w:pPr>
        <w:spacing w:line="240" w:lineRule="auto"/>
        <w:rPr>
          <w:rFonts w:asciiTheme="majorHAnsi" w:eastAsia="Arial" w:hAnsiTheme="majorHAnsi" w:cstheme="majorHAnsi"/>
          <w:b/>
          <w:bCs/>
          <w:iCs/>
          <w:u w:val="single"/>
          <w:lang w:val="en-GB"/>
        </w:rPr>
      </w:pPr>
      <w:r>
        <w:rPr>
          <w:rFonts w:asciiTheme="majorHAnsi" w:eastAsia="Arial" w:hAnsiTheme="majorHAnsi" w:cstheme="majorHAnsi"/>
          <w:b/>
          <w:bCs/>
          <w:iCs/>
          <w:u w:val="single"/>
          <w:lang w:val="en-GB"/>
        </w:rPr>
        <w:t xml:space="preserve">Antivirus </w:t>
      </w:r>
    </w:p>
    <w:p w:rsidR="00E96343" w:rsidRDefault="00190EF8">
      <w:pPr>
        <w:rPr>
          <w:rFonts w:asciiTheme="majorHAnsi" w:hAnsiTheme="majorHAnsi" w:cstheme="majorHAnsi"/>
          <w:lang w:val="en-GB"/>
        </w:rPr>
      </w:pPr>
      <w:r>
        <w:rPr>
          <w:rFonts w:asciiTheme="majorHAnsi" w:hAnsiTheme="majorHAnsi" w:cstheme="majorHAnsi"/>
          <w:lang w:val="en-GB"/>
        </w:rPr>
        <w:t>Files from bidders must be virus-free. Receipt of contaminated files will render bids inadmissible unless a backup copy has been sent too. In this case, the backup copy shall be opened. If</w:t>
      </w:r>
      <w:r>
        <w:rPr>
          <w:rFonts w:asciiTheme="majorHAnsi" w:hAnsiTheme="majorHAnsi" w:cstheme="majorHAnsi"/>
          <w:lang w:val="en-GB"/>
        </w:rPr>
        <w:t xml:space="preserve"> a virus is detected, the file will be considered as never received and the bidder is informed using the provided identification data. If the bidder </w:t>
      </w:r>
      <w:r>
        <w:rPr>
          <w:rFonts w:asciiTheme="majorHAnsi" w:hAnsiTheme="majorHAnsi" w:cstheme="majorHAnsi"/>
          <w:i/>
          <w:iCs/>
          <w:lang w:val="en-GB"/>
        </w:rPr>
        <w:t>did</w:t>
      </w:r>
      <w:r>
        <w:rPr>
          <w:rFonts w:asciiTheme="majorHAnsi" w:hAnsiTheme="majorHAnsi" w:cstheme="majorHAnsi"/>
          <w:lang w:val="en-GB"/>
        </w:rPr>
        <w:t xml:space="preserve"> send the backup copy pursuant to conditions laid out in the following paragraph, this will be opened in</w:t>
      </w:r>
      <w:r>
        <w:rPr>
          <w:rFonts w:asciiTheme="majorHAnsi" w:hAnsiTheme="majorHAnsi" w:cstheme="majorHAnsi"/>
          <w:lang w:val="en-GB"/>
        </w:rPr>
        <w:t>stead of the uploaded file.</w:t>
      </w:r>
    </w:p>
    <w:p w:rsidR="00E96343" w:rsidRDefault="00E96343">
      <w:pPr>
        <w:spacing w:line="240" w:lineRule="auto"/>
        <w:rPr>
          <w:rFonts w:asciiTheme="majorHAnsi" w:eastAsia="Arial" w:hAnsiTheme="majorHAnsi" w:cstheme="majorHAnsi"/>
          <w:lang w:val="en-GB"/>
        </w:rPr>
      </w:pPr>
    </w:p>
    <w:p w:rsidR="00E96343" w:rsidRDefault="00190EF8">
      <w:pPr>
        <w:spacing w:line="240" w:lineRule="auto"/>
        <w:rPr>
          <w:rFonts w:asciiTheme="majorHAnsi" w:eastAsia="Arial" w:hAnsiTheme="majorHAnsi" w:cstheme="majorHAnsi"/>
          <w:b/>
          <w:bCs/>
          <w:iCs/>
          <w:u w:val="single"/>
          <w:lang w:val="en-GB"/>
        </w:rPr>
      </w:pPr>
      <w:r>
        <w:rPr>
          <w:rFonts w:asciiTheme="majorHAnsi" w:eastAsia="Arial" w:hAnsiTheme="majorHAnsi" w:cstheme="majorHAnsi"/>
          <w:b/>
          <w:bCs/>
          <w:iCs/>
          <w:u w:val="single"/>
          <w:lang w:val="en-GB"/>
        </w:rPr>
        <w:t xml:space="preserve">Authorised backup copy </w:t>
      </w:r>
    </w:p>
    <w:p w:rsidR="00E96343" w:rsidRDefault="00190EF8">
      <w:pPr>
        <w:rPr>
          <w:rFonts w:asciiTheme="majorHAnsi" w:hAnsiTheme="majorHAnsi" w:cstheme="majorHAnsi"/>
          <w:lang w:val="en-GB"/>
        </w:rPr>
      </w:pPr>
      <w:r>
        <w:rPr>
          <w:rFonts w:asciiTheme="majorHAnsi" w:hAnsiTheme="majorHAnsi" w:cstheme="majorHAnsi"/>
          <w:lang w:val="en-GB"/>
        </w:rPr>
        <w:t>Pursuant to Article R2132-11 of the French code of Public Procurement, the bidder, in addition to uploading a bid to the online platform, may also send physically a backup electronic copy (on a CD-ROM, D</w:t>
      </w:r>
      <w:r>
        <w:rPr>
          <w:rFonts w:asciiTheme="majorHAnsi" w:hAnsiTheme="majorHAnsi" w:cstheme="majorHAnsi"/>
          <w:lang w:val="en-GB"/>
        </w:rPr>
        <w:t>VS-ROM, Flash drive etc) or a paper copy.</w:t>
      </w:r>
    </w:p>
    <w:p w:rsidR="00E96343" w:rsidRDefault="00190EF8">
      <w:pPr>
        <w:rPr>
          <w:rFonts w:asciiTheme="majorHAnsi" w:hAnsiTheme="majorHAnsi" w:cstheme="majorHAnsi"/>
          <w:lang w:val="en-GB"/>
        </w:rPr>
      </w:pPr>
      <w:r>
        <w:rPr>
          <w:rFonts w:asciiTheme="majorHAnsi" w:hAnsiTheme="majorHAnsi" w:cstheme="majorHAnsi"/>
          <w:lang w:val="en-GB"/>
        </w:rPr>
        <w:t>IFREMER shall receive backup copies prior to deadlines indicated in the publicity material and on the cover page hereto.</w:t>
      </w:r>
    </w:p>
    <w:p w:rsidR="00E96343" w:rsidRDefault="00190EF8">
      <w:pPr>
        <w:rPr>
          <w:rFonts w:asciiTheme="majorHAnsi" w:hAnsiTheme="majorHAnsi" w:cstheme="majorHAnsi"/>
          <w:lang w:val="en-GB"/>
        </w:rPr>
      </w:pPr>
      <w:r>
        <w:rPr>
          <w:rFonts w:asciiTheme="majorHAnsi" w:hAnsiTheme="majorHAnsi" w:cstheme="majorHAnsi"/>
          <w:lang w:val="en-GB"/>
        </w:rPr>
        <w:t xml:space="preserve">Physical backup copies are placed in sealed envelopes clearly labelled "Backup Copy" AS WELL </w:t>
      </w:r>
      <w:r>
        <w:rPr>
          <w:rFonts w:asciiTheme="majorHAnsi" w:hAnsiTheme="majorHAnsi" w:cstheme="majorHAnsi"/>
          <w:lang w:val="en-GB"/>
        </w:rPr>
        <w:t>AS the following:</w:t>
      </w:r>
    </w:p>
    <w:p w:rsidR="00E96343" w:rsidRDefault="00190EF8">
      <w:pPr>
        <w:pBdr>
          <w:top w:val="single" w:sz="4" w:space="1" w:color="000000"/>
          <w:left w:val="single" w:sz="4" w:space="4" w:color="000000"/>
          <w:bottom w:val="single" w:sz="4" w:space="1" w:color="000000"/>
          <w:right w:val="single" w:sz="4" w:space="4" w:color="000000"/>
        </w:pBdr>
        <w:rPr>
          <w:rFonts w:asciiTheme="majorHAnsi" w:hAnsiTheme="majorHAnsi" w:cstheme="majorHAnsi"/>
          <w:lang w:val="en-GB"/>
        </w:rPr>
      </w:pPr>
      <w:r>
        <w:rPr>
          <w:rFonts w:asciiTheme="majorHAnsi" w:hAnsiTheme="majorHAnsi" w:cstheme="majorHAnsi"/>
          <w:lang w:val="en-GB"/>
        </w:rPr>
        <w:t>Backup copies shall be posted via recorded delivery with acknowledgement of receipt to the following address:</w:t>
      </w:r>
    </w:p>
    <w:p w:rsidR="00E96343" w:rsidRDefault="00190EF8">
      <w:pPr>
        <w:pStyle w:val="Adresse"/>
        <w:pBdr>
          <w:top w:val="single" w:sz="4" w:space="1" w:color="000000"/>
          <w:left w:val="single" w:sz="4" w:space="4" w:color="000000"/>
          <w:bottom w:val="single" w:sz="4" w:space="1" w:color="000000"/>
          <w:right w:val="single" w:sz="4" w:space="4" w:color="000000"/>
        </w:pBdr>
        <w:rPr>
          <w:rFonts w:asciiTheme="majorHAnsi" w:hAnsiTheme="majorHAnsi" w:cstheme="majorHAnsi"/>
        </w:rPr>
      </w:pPr>
      <w:r>
        <w:rPr>
          <w:rFonts w:asciiTheme="majorHAnsi" w:hAnsiTheme="majorHAnsi" w:cstheme="majorHAnsi"/>
        </w:rPr>
        <w:t>IFREMER</w:t>
      </w:r>
    </w:p>
    <w:p w:rsidR="00E96343" w:rsidRDefault="00190EF8">
      <w:pPr>
        <w:pStyle w:val="Adresse"/>
        <w:pBdr>
          <w:top w:val="single" w:sz="4" w:space="1" w:color="000000"/>
          <w:left w:val="single" w:sz="4" w:space="4" w:color="000000"/>
          <w:bottom w:val="single" w:sz="4" w:space="1" w:color="000000"/>
          <w:right w:val="single" w:sz="4" w:space="4" w:color="000000"/>
        </w:pBdr>
        <w:rPr>
          <w:rFonts w:asciiTheme="majorHAnsi" w:hAnsiTheme="majorHAnsi" w:cstheme="majorHAnsi"/>
        </w:rPr>
      </w:pPr>
      <w:r>
        <w:rPr>
          <w:rFonts w:asciiTheme="majorHAnsi" w:hAnsiTheme="majorHAnsi" w:cstheme="majorHAnsi"/>
        </w:rPr>
        <w:t>DAJF/Cellule Marchés</w:t>
      </w:r>
    </w:p>
    <w:p w:rsidR="00E96343" w:rsidRDefault="00190EF8">
      <w:pPr>
        <w:pStyle w:val="Adresse"/>
        <w:pBdr>
          <w:top w:val="single" w:sz="4" w:space="1" w:color="000000"/>
          <w:left w:val="single" w:sz="4" w:space="4" w:color="000000"/>
          <w:bottom w:val="single" w:sz="4" w:space="1" w:color="000000"/>
          <w:right w:val="single" w:sz="4" w:space="4" w:color="000000"/>
        </w:pBdr>
        <w:rPr>
          <w:rFonts w:asciiTheme="majorHAnsi" w:hAnsiTheme="majorHAnsi" w:cstheme="majorHAnsi"/>
        </w:rPr>
      </w:pPr>
      <w:r>
        <w:rPr>
          <w:rFonts w:asciiTheme="majorHAnsi" w:hAnsiTheme="majorHAnsi" w:cstheme="majorHAnsi"/>
        </w:rPr>
        <w:t>1625 route Sainte-Anne</w:t>
      </w:r>
    </w:p>
    <w:p w:rsidR="00E96343" w:rsidRDefault="00190EF8">
      <w:pPr>
        <w:pStyle w:val="Adresse"/>
        <w:pBdr>
          <w:top w:val="single" w:sz="4" w:space="1" w:color="000000"/>
          <w:left w:val="single" w:sz="4" w:space="4" w:color="000000"/>
          <w:bottom w:val="single" w:sz="4" w:space="1" w:color="000000"/>
          <w:right w:val="single" w:sz="4" w:space="4" w:color="000000"/>
        </w:pBdr>
        <w:rPr>
          <w:rFonts w:asciiTheme="majorHAnsi" w:hAnsiTheme="majorHAnsi" w:cstheme="majorHAnsi"/>
          <w:lang w:val="en-GB"/>
        </w:rPr>
      </w:pPr>
      <w:r>
        <w:rPr>
          <w:rFonts w:asciiTheme="majorHAnsi" w:hAnsiTheme="majorHAnsi" w:cstheme="majorHAnsi"/>
          <w:lang w:val="en-GB"/>
        </w:rPr>
        <w:t>CS10070</w:t>
      </w:r>
    </w:p>
    <w:p w:rsidR="00E96343" w:rsidRDefault="00190EF8">
      <w:pPr>
        <w:pStyle w:val="Adresse"/>
        <w:pBdr>
          <w:top w:val="single" w:sz="4" w:space="1" w:color="000000"/>
          <w:left w:val="single" w:sz="4" w:space="4" w:color="000000"/>
          <w:bottom w:val="single" w:sz="4" w:space="1" w:color="000000"/>
          <w:right w:val="single" w:sz="4" w:space="4" w:color="000000"/>
        </w:pBdr>
        <w:rPr>
          <w:rFonts w:asciiTheme="majorHAnsi" w:hAnsiTheme="majorHAnsi" w:cstheme="majorHAnsi"/>
          <w:lang w:val="en-GB"/>
        </w:rPr>
      </w:pPr>
      <w:r>
        <w:rPr>
          <w:rFonts w:asciiTheme="majorHAnsi" w:hAnsiTheme="majorHAnsi" w:cstheme="majorHAnsi"/>
          <w:lang w:val="en-GB"/>
        </w:rPr>
        <w:t>29280 PLOUZANE</w:t>
      </w:r>
    </w:p>
    <w:p w:rsidR="00E96343" w:rsidRDefault="00190EF8">
      <w:pPr>
        <w:rPr>
          <w:rFonts w:asciiTheme="majorHAnsi" w:hAnsiTheme="majorHAnsi" w:cstheme="majorHAnsi"/>
          <w:lang w:val="en-GB"/>
        </w:rPr>
      </w:pPr>
      <w:r>
        <w:rPr>
          <w:rFonts w:asciiTheme="majorHAnsi" w:hAnsiTheme="majorHAnsi" w:cstheme="majorHAnsi"/>
          <w:lang w:val="en-GB"/>
        </w:rPr>
        <w:t xml:space="preserve">Backup copies, received prior to bid submission deadline, will be opened if the emailed bid: </w:t>
      </w:r>
    </w:p>
    <w:p w:rsidR="00E96343" w:rsidRDefault="00190EF8">
      <w:pPr>
        <w:pStyle w:val="Liste"/>
        <w:rPr>
          <w:rFonts w:asciiTheme="majorHAnsi" w:hAnsiTheme="majorHAnsi" w:cstheme="majorHAnsi"/>
          <w:lang w:val="en-GB"/>
        </w:rPr>
      </w:pPr>
      <w:r>
        <w:rPr>
          <w:rFonts w:asciiTheme="majorHAnsi" w:hAnsiTheme="majorHAnsi" w:cstheme="majorHAnsi"/>
          <w:lang w:val="en-GB"/>
        </w:rPr>
        <w:t xml:space="preserve">contained any malware or viruses, </w:t>
      </w:r>
    </w:p>
    <w:p w:rsidR="00E96343" w:rsidRDefault="00190EF8">
      <w:pPr>
        <w:pStyle w:val="Liste"/>
        <w:rPr>
          <w:rFonts w:asciiTheme="majorHAnsi" w:hAnsiTheme="majorHAnsi" w:cstheme="majorHAnsi"/>
          <w:lang w:val="en-GB"/>
        </w:rPr>
      </w:pPr>
      <w:r>
        <w:rPr>
          <w:rFonts w:asciiTheme="majorHAnsi" w:hAnsiTheme="majorHAnsi" w:cstheme="majorHAnsi"/>
          <w:lang w:val="en-GB"/>
        </w:rPr>
        <w:t>is received post deadline, unless the buyer has tangible evidence that the file (bid or offer) had started to upload prior to d</w:t>
      </w:r>
      <w:r>
        <w:rPr>
          <w:rFonts w:asciiTheme="majorHAnsi" w:hAnsiTheme="majorHAnsi" w:cstheme="majorHAnsi"/>
          <w:lang w:val="en-GB"/>
        </w:rPr>
        <w:t xml:space="preserve">eadline and if the backup copy has arrived prior to deadline, </w:t>
      </w:r>
    </w:p>
    <w:p w:rsidR="00E96343" w:rsidRDefault="00190EF8">
      <w:pPr>
        <w:pStyle w:val="Liste"/>
        <w:rPr>
          <w:rFonts w:asciiTheme="majorHAnsi" w:hAnsiTheme="majorHAnsi" w:cstheme="majorHAnsi"/>
          <w:lang w:val="en-GB"/>
        </w:rPr>
      </w:pPr>
      <w:r>
        <w:rPr>
          <w:rFonts w:asciiTheme="majorHAnsi" w:hAnsiTheme="majorHAnsi" w:cstheme="majorHAnsi"/>
          <w:lang w:val="en-GB"/>
        </w:rPr>
        <w:t xml:space="preserve">could not be opened by the buyer. </w:t>
      </w:r>
    </w:p>
    <w:p w:rsidR="00E96343" w:rsidRDefault="00190EF8">
      <w:pPr>
        <w:pStyle w:val="Titre2"/>
        <w:rPr>
          <w:rFonts w:cstheme="majorHAnsi"/>
          <w:lang w:val="en-GB"/>
        </w:rPr>
      </w:pPr>
      <w:bookmarkStart w:id="30" w:name="_Toc210376505"/>
      <w:r>
        <w:rPr>
          <w:rFonts w:cstheme="majorHAnsi"/>
          <w:lang w:val="en-GB"/>
        </w:rPr>
        <w:lastRenderedPageBreak/>
        <w:t>Participation conditions</w:t>
      </w:r>
      <w:bookmarkEnd w:id="30"/>
    </w:p>
    <w:p w:rsidR="00E96343" w:rsidRDefault="00190EF8">
      <w:pPr>
        <w:rPr>
          <w:rFonts w:asciiTheme="majorHAnsi" w:hAnsiTheme="majorHAnsi" w:cstheme="majorHAnsi"/>
          <w:b/>
          <w:bCs/>
          <w:lang w:val="en-GB"/>
        </w:rPr>
      </w:pPr>
      <w:r>
        <w:rPr>
          <w:rStyle w:val="lev"/>
          <w:rFonts w:asciiTheme="majorHAnsi" w:hAnsiTheme="majorHAnsi" w:cstheme="majorHAnsi"/>
          <w:b w:val="0"/>
          <w:bCs w:val="0"/>
          <w:lang w:val="en-GB"/>
        </w:rPr>
        <w:t>The candidate does not fall under any of the cases mentioned in Articles L.2141-1 to L.2141-5 and L.2141-7 to L.2141-11 of the French</w:t>
      </w:r>
      <w:r>
        <w:rPr>
          <w:rStyle w:val="lev"/>
          <w:rFonts w:asciiTheme="majorHAnsi" w:hAnsiTheme="majorHAnsi" w:cstheme="majorHAnsi"/>
          <w:b w:val="0"/>
          <w:bCs w:val="0"/>
          <w:lang w:val="en-GB"/>
        </w:rPr>
        <w:t xml:space="preserve"> Public Procurement Code. The candidate complies with the obligations of the Labour Code as defined in Articles L.5212-1 to L.5212-11.</w:t>
      </w:r>
    </w:p>
    <w:p w:rsidR="00E96343" w:rsidRDefault="00190EF8">
      <w:pPr>
        <w:rPr>
          <w:rFonts w:asciiTheme="majorHAnsi" w:hAnsiTheme="majorHAnsi" w:cstheme="majorHAnsi"/>
          <w:lang w:val="en-GB"/>
        </w:rPr>
      </w:pPr>
      <w:r>
        <w:rPr>
          <w:rFonts w:asciiTheme="majorHAnsi" w:hAnsiTheme="majorHAnsi" w:cstheme="majorHAnsi"/>
          <w:lang w:val="en-GB"/>
        </w:rPr>
        <w:t>Pursuant to Article L.215</w:t>
      </w:r>
      <w:r>
        <w:rPr>
          <w:rFonts w:asciiTheme="majorHAnsi" w:hAnsiTheme="majorHAnsi" w:cstheme="majorHAnsi"/>
          <w:lang w:val="en-GB"/>
        </w:rPr>
        <w:t>3</w:t>
      </w:r>
      <w:r>
        <w:rPr>
          <w:rFonts w:asciiTheme="majorHAnsi" w:hAnsiTheme="majorHAnsi" w:cstheme="majorHAnsi"/>
          <w:lang w:val="en-GB"/>
        </w:rPr>
        <w:t xml:space="preserve">-1 of the French code of Public Procurement, all bidders must come from GPA States (Government </w:t>
      </w:r>
      <w:r>
        <w:rPr>
          <w:rFonts w:asciiTheme="majorHAnsi" w:hAnsiTheme="majorHAnsi" w:cstheme="majorHAnsi"/>
          <w:lang w:val="en-GB"/>
        </w:rPr>
        <w:t>Procurement Agreement) or an equivalent international agreement undersigned by the EU.</w:t>
      </w:r>
    </w:p>
    <w:p w:rsidR="00E96343" w:rsidRDefault="00190EF8">
      <w:pPr>
        <w:pStyle w:val="Titre2"/>
        <w:rPr>
          <w:rFonts w:cstheme="majorHAnsi"/>
          <w:lang w:val="en-GB"/>
        </w:rPr>
      </w:pPr>
      <w:bookmarkStart w:id="31" w:name="_Toc210376506"/>
      <w:r>
        <w:rPr>
          <w:rFonts w:cstheme="majorHAnsi"/>
          <w:lang w:val="en-GB"/>
        </w:rPr>
        <w:t>Conflict of interest</w:t>
      </w:r>
      <w:bookmarkEnd w:id="31"/>
      <w:r>
        <w:rPr>
          <w:rFonts w:cstheme="majorHAnsi"/>
          <w:lang w:val="en-GB"/>
        </w:rPr>
        <w:t xml:space="preserve"> </w:t>
      </w:r>
    </w:p>
    <w:p w:rsidR="00E96343" w:rsidRDefault="00190EF8">
      <w:pPr>
        <w:rPr>
          <w:rFonts w:asciiTheme="majorHAnsi" w:hAnsiTheme="majorHAnsi" w:cstheme="majorHAnsi"/>
          <w:b/>
          <w:bCs/>
          <w:lang w:val="en-GB"/>
        </w:rPr>
      </w:pPr>
      <w:r>
        <w:rPr>
          <w:rStyle w:val="lev"/>
          <w:rFonts w:asciiTheme="majorHAnsi" w:hAnsiTheme="majorHAnsi" w:cstheme="majorHAnsi"/>
          <w:b w:val="0"/>
          <w:bCs w:val="0"/>
          <w:lang w:val="en-GB"/>
        </w:rPr>
        <w:t>Candidates undertakes to inform Ifremer of any situation that may give rise to a conflict of interest. This includes any situation in which a perso</w:t>
      </w:r>
      <w:r>
        <w:rPr>
          <w:rStyle w:val="lev"/>
          <w:rFonts w:asciiTheme="majorHAnsi" w:hAnsiTheme="majorHAnsi" w:cstheme="majorHAnsi"/>
          <w:b w:val="0"/>
          <w:bCs w:val="0"/>
          <w:lang w:val="en-GB"/>
        </w:rPr>
        <w:t>n involved in the conduct of the procurement procedure, or who may influence its outcome, has—directly or indirectly—a financial, economic, or any other personal interest that could compromise their impartiality or independence in the context of the procur</w:t>
      </w:r>
      <w:r>
        <w:rPr>
          <w:rStyle w:val="lev"/>
          <w:rFonts w:asciiTheme="majorHAnsi" w:hAnsiTheme="majorHAnsi" w:cstheme="majorHAnsi"/>
          <w:b w:val="0"/>
          <w:bCs w:val="0"/>
          <w:lang w:val="en-GB"/>
        </w:rPr>
        <w:t>ement procedure.</w:t>
      </w:r>
    </w:p>
    <w:p w:rsidR="00E96343" w:rsidRDefault="00190EF8">
      <w:pPr>
        <w:pStyle w:val="Titre2"/>
        <w:rPr>
          <w:rFonts w:cstheme="majorHAnsi"/>
          <w:lang w:val="en-GB"/>
        </w:rPr>
      </w:pPr>
      <w:bookmarkStart w:id="32" w:name="_Toc210376507"/>
      <w:r>
        <w:rPr>
          <w:rFonts w:cstheme="majorHAnsi"/>
          <w:lang w:val="en-GB"/>
        </w:rPr>
        <w:t>Signatures</w:t>
      </w:r>
      <w:bookmarkEnd w:id="32"/>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Only an authorised person may sign documents requiring bidder's signature.</w:t>
      </w:r>
    </w:p>
    <w:p w:rsidR="00E96343" w:rsidRDefault="00190EF8">
      <w:pPr>
        <w:spacing w:line="240" w:lineRule="auto"/>
        <w:rPr>
          <w:rFonts w:asciiTheme="majorHAnsi" w:hAnsiTheme="majorHAnsi" w:cstheme="majorHAnsi"/>
          <w:lang w:val="en-GB"/>
        </w:rPr>
      </w:pPr>
      <w:r>
        <w:rPr>
          <w:rFonts w:asciiTheme="majorHAnsi" w:hAnsiTheme="majorHAnsi" w:cstheme="majorHAnsi"/>
          <w:lang w:val="en-GB"/>
        </w:rPr>
        <w:t>Said person must be:</w:t>
      </w:r>
    </w:p>
    <w:p w:rsidR="00E96343" w:rsidRDefault="00190EF8">
      <w:pPr>
        <w:pStyle w:val="Liste"/>
        <w:rPr>
          <w:rFonts w:asciiTheme="majorHAnsi" w:hAnsiTheme="majorHAnsi" w:cstheme="majorHAnsi"/>
          <w:lang w:val="en-GB"/>
        </w:rPr>
      </w:pPr>
      <w:r>
        <w:rPr>
          <w:rFonts w:asciiTheme="majorHAnsi" w:hAnsiTheme="majorHAnsi" w:cstheme="majorHAnsi"/>
          <w:lang w:val="en-GB"/>
        </w:rPr>
        <w:t xml:space="preserve">the bidder's legal representative, </w:t>
      </w:r>
    </w:p>
    <w:p w:rsidR="00E96343" w:rsidRDefault="00190EF8">
      <w:pPr>
        <w:pStyle w:val="Liste"/>
        <w:rPr>
          <w:rFonts w:asciiTheme="majorHAnsi" w:hAnsiTheme="majorHAnsi" w:cstheme="majorHAnsi"/>
          <w:lang w:val="en-GB"/>
        </w:rPr>
      </w:pPr>
      <w:r>
        <w:rPr>
          <w:rFonts w:asciiTheme="majorHAnsi" w:hAnsiTheme="majorHAnsi" w:cstheme="majorHAnsi"/>
          <w:lang w:val="en-GB"/>
        </w:rPr>
        <w:t>or any other individual with a power of attorney assigned by the bidder's legal representative</w:t>
      </w:r>
    </w:p>
    <w:p w:rsidR="00E96343" w:rsidRDefault="00190EF8">
      <w:pPr>
        <w:pStyle w:val="Titre1"/>
        <w:rPr>
          <w:rFonts w:cstheme="majorHAnsi"/>
          <w:lang w:val="en-GB"/>
        </w:rPr>
      </w:pPr>
      <w:bookmarkStart w:id="33" w:name="_Toc210376508"/>
      <w:r>
        <w:rPr>
          <w:rFonts w:cstheme="majorHAnsi"/>
          <w:lang w:val="en-GB"/>
        </w:rPr>
        <w:t>A</w:t>
      </w:r>
      <w:r>
        <w:rPr>
          <w:rFonts w:cstheme="majorHAnsi"/>
          <w:lang w:val="en-GB"/>
        </w:rPr>
        <w:t>pplication content</w:t>
      </w:r>
      <w:bookmarkEnd w:id="33"/>
      <w:r>
        <w:rPr>
          <w:rFonts w:cstheme="majorHAnsi"/>
          <w:lang w:val="en-GB"/>
        </w:rPr>
        <w:t xml:space="preserve"> </w:t>
      </w:r>
    </w:p>
    <w:p w:rsidR="00E96343" w:rsidRDefault="00190EF8">
      <w:pPr>
        <w:rPr>
          <w:rStyle w:val="lev"/>
          <w:rFonts w:asciiTheme="majorHAnsi" w:hAnsiTheme="majorHAnsi" w:cstheme="majorHAnsi"/>
          <w:lang w:val="en-GB"/>
        </w:rPr>
      </w:pPr>
      <w:r>
        <w:rPr>
          <w:rFonts w:asciiTheme="majorHAnsi" w:hAnsiTheme="majorHAnsi" w:cstheme="majorHAnsi"/>
          <w:b/>
          <w:bCs/>
          <w:lang w:val="en-GB"/>
        </w:rPr>
        <w:t>Applications must be submitted in French or English.</w:t>
      </w:r>
    </w:p>
    <w:p w:rsidR="00E96343" w:rsidRDefault="00190EF8">
      <w:pPr>
        <w:rPr>
          <w:rFonts w:asciiTheme="majorHAnsi" w:hAnsiTheme="majorHAnsi" w:cstheme="majorHAnsi"/>
          <w:b/>
          <w:bCs/>
          <w:lang w:val="en-GB"/>
        </w:rPr>
      </w:pPr>
      <w:r>
        <w:rPr>
          <w:rStyle w:val="lev"/>
          <w:rFonts w:asciiTheme="majorHAnsi" w:hAnsiTheme="majorHAnsi" w:cstheme="majorHAnsi"/>
          <w:lang w:val="en-GB"/>
        </w:rPr>
        <w:t>The candidate (joint contractor/subcontractor) is required to provide the following documents:</w:t>
      </w:r>
    </w:p>
    <w:p w:rsidR="00E96343" w:rsidRDefault="00E96343">
      <w:pPr>
        <w:rPr>
          <w:rFonts w:asciiTheme="majorHAnsi" w:hAnsiTheme="majorHAnsi" w:cstheme="majorHAnsi"/>
          <w:b/>
          <w:bCs/>
          <w:lang w:val="en-GB"/>
        </w:rPr>
      </w:pPr>
    </w:p>
    <w:tbl>
      <w:tblPr>
        <w:tblStyle w:val="Grilledutableau"/>
        <w:tblW w:w="9498" w:type="dxa"/>
        <w:tblInd w:w="-147" w:type="dxa"/>
        <w:tblLook w:val="04A0" w:firstRow="1" w:lastRow="0" w:firstColumn="1" w:lastColumn="0" w:noHBand="0" w:noVBand="1"/>
      </w:tblPr>
      <w:tblGrid>
        <w:gridCol w:w="7655"/>
        <w:gridCol w:w="1843"/>
      </w:tblGrid>
      <w:tr w:rsidR="00E96343">
        <w:trPr>
          <w:trHeight w:val="411"/>
        </w:trPr>
        <w:tc>
          <w:tcPr>
            <w:tcW w:w="7655" w:type="dxa"/>
            <w:tcBorders>
              <w:bottom w:val="single" w:sz="4" w:space="0" w:color="auto"/>
            </w:tcBorders>
            <w:shd w:val="clear" w:color="auto" w:fill="0032C8" w:themeFill="accent1"/>
            <w:vAlign w:val="center"/>
          </w:tcPr>
          <w:p w:rsidR="00E96343" w:rsidRDefault="00190EF8">
            <w:pPr>
              <w:tabs>
                <w:tab w:val="left" w:pos="1345"/>
              </w:tabs>
              <w:rPr>
                <w:rFonts w:asciiTheme="majorHAnsi" w:eastAsia="Arial" w:hAnsiTheme="majorHAnsi" w:cstheme="majorHAnsi"/>
                <w:color w:val="FFFFFF" w:themeColor="background1"/>
                <w:sz w:val="24"/>
                <w:szCs w:val="24"/>
                <w:lang w:val="en-GB"/>
              </w:rPr>
            </w:pPr>
            <w:r>
              <w:rPr>
                <w:rFonts w:asciiTheme="majorHAnsi" w:eastAsia="Arial" w:hAnsiTheme="majorHAnsi" w:cstheme="majorHAnsi"/>
                <w:color w:val="FFFFFF" w:themeColor="background1"/>
                <w:sz w:val="24"/>
                <w:szCs w:val="24"/>
                <w:lang w:val="en-GB"/>
              </w:rPr>
              <w:t>Applicant situation :</w:t>
            </w:r>
          </w:p>
        </w:tc>
        <w:tc>
          <w:tcPr>
            <w:tcW w:w="1843" w:type="dxa"/>
            <w:tcBorders>
              <w:bottom w:val="single" w:sz="4" w:space="0" w:color="auto"/>
            </w:tcBorders>
            <w:shd w:val="clear" w:color="auto" w:fill="0032C8" w:themeFill="accent1"/>
          </w:tcPr>
          <w:p w:rsidR="00E96343" w:rsidRDefault="00190EF8">
            <w:pPr>
              <w:tabs>
                <w:tab w:val="left" w:pos="1345"/>
              </w:tabs>
              <w:jc w:val="center"/>
              <w:rPr>
                <w:rFonts w:asciiTheme="majorHAnsi" w:eastAsia="Arial" w:hAnsiTheme="majorHAnsi" w:cstheme="majorHAnsi"/>
                <w:color w:val="FFFFFF" w:themeColor="background1"/>
                <w:sz w:val="24"/>
                <w:szCs w:val="24"/>
                <w:lang w:val="en-GB"/>
              </w:rPr>
            </w:pPr>
            <w:r>
              <w:rPr>
                <w:rFonts w:asciiTheme="majorHAnsi" w:eastAsia="Arial" w:hAnsiTheme="majorHAnsi" w:cstheme="majorHAnsi"/>
                <w:color w:val="FFFFFF" w:themeColor="background1"/>
                <w:sz w:val="24"/>
                <w:szCs w:val="24"/>
                <w:lang w:val="en-GB"/>
              </w:rPr>
              <w:t>Documents to fil</w:t>
            </w:r>
          </w:p>
        </w:tc>
      </w:tr>
      <w:tr w:rsidR="00E96343">
        <w:trPr>
          <w:trHeight w:val="1401"/>
        </w:trPr>
        <w:tc>
          <w:tcPr>
            <w:tcW w:w="7655" w:type="dxa"/>
            <w:tcBorders>
              <w:top w:val="single" w:sz="4" w:space="0" w:color="auto"/>
            </w:tcBorders>
            <w:vAlign w:val="center"/>
          </w:tcPr>
          <w:p w:rsidR="00E96343" w:rsidRDefault="00190EF8">
            <w:pPr>
              <w:rPr>
                <w:rFonts w:asciiTheme="majorHAnsi" w:hAnsiTheme="majorHAnsi" w:cstheme="majorHAnsi"/>
                <w:lang w:val="en-GB"/>
              </w:rPr>
            </w:pPr>
            <w:bookmarkStart w:id="34" w:name="_Hlk166665952"/>
            <w:r>
              <w:rPr>
                <w:rFonts w:asciiTheme="majorHAnsi" w:eastAsia="Arial" w:hAnsiTheme="majorHAnsi" w:cstheme="majorHAnsi"/>
                <w:b/>
                <w:color w:val="FF0000"/>
                <w:sz w:val="24"/>
                <w:szCs w:val="24"/>
                <w:lang w:val="en-GB"/>
              </w:rPr>
              <w:t xml:space="preserve">1- </w:t>
            </w:r>
            <w:r>
              <w:rPr>
                <w:rFonts w:asciiTheme="majorHAnsi" w:hAnsiTheme="majorHAnsi" w:cstheme="majorHAnsi"/>
                <w:b/>
                <w:bCs/>
                <w:lang w:val="en-GB"/>
              </w:rPr>
              <w:t>Duly completed DC1 form</w:t>
            </w:r>
            <w:r>
              <w:rPr>
                <w:rFonts w:asciiTheme="majorHAnsi" w:hAnsiTheme="majorHAnsi" w:cstheme="majorHAnsi"/>
                <w:lang w:val="en-GB"/>
              </w:rPr>
              <w:t xml:space="preserve"> (bidder application and named co-contractor representative) available at:</w:t>
            </w:r>
          </w:p>
          <w:p w:rsidR="00E96343" w:rsidRDefault="00190EF8">
            <w:pPr>
              <w:rPr>
                <w:rFonts w:asciiTheme="majorHAnsi" w:hAnsiTheme="majorHAnsi" w:cstheme="majorHAnsi"/>
                <w:lang w:val="en-GB"/>
              </w:rPr>
            </w:pPr>
            <w:hyperlink r:id="rId11" w:tooltip="https://www.economie.gouv.fr/daj/formulaires-declaration-du-candidat" w:history="1">
              <w:r>
                <w:rPr>
                  <w:rStyle w:val="Lienhypertexte"/>
                  <w:rFonts w:asciiTheme="majorHAnsi" w:hAnsiTheme="majorHAnsi" w:cstheme="majorHAnsi"/>
                  <w:u w:val="none"/>
                  <w:lang w:val="en-GB"/>
                </w:rPr>
                <w:t>https://www.economie.g</w:t>
              </w:r>
              <w:r>
                <w:rPr>
                  <w:rStyle w:val="Lienhypertexte"/>
                  <w:rFonts w:asciiTheme="majorHAnsi" w:hAnsiTheme="majorHAnsi" w:cstheme="majorHAnsi"/>
                  <w:u w:val="none"/>
                  <w:lang w:val="en-GB"/>
                </w:rPr>
                <w:t>ouv.fr/daj/formulaires-declaration-du-candidat</w:t>
              </w:r>
            </w:hyperlink>
            <w:r>
              <w:rPr>
                <w:rFonts w:asciiTheme="majorHAnsi" w:hAnsiTheme="majorHAnsi" w:cstheme="majorHAnsi"/>
                <w:lang w:val="en-GB"/>
              </w:rPr>
              <w:t>, or equivalent.</w:t>
            </w:r>
          </w:p>
        </w:tc>
        <w:tc>
          <w:tcPr>
            <w:tcW w:w="1843" w:type="dxa"/>
            <w:tcBorders>
              <w:top w:val="single" w:sz="4" w:space="0" w:color="auto"/>
            </w:tcBorders>
            <w:vAlign w:val="center"/>
          </w:tcPr>
          <w:p w:rsidR="00E96343" w:rsidRDefault="00190EF8">
            <w:pPr>
              <w:shd w:val="clear" w:color="auto" w:fill="FFFFFF" w:themeFill="background1"/>
              <w:jc w:val="center"/>
              <w:rPr>
                <w:rFonts w:asciiTheme="majorHAnsi" w:eastAsia="Arial" w:hAnsiTheme="majorHAnsi" w:cstheme="majorHAnsi"/>
                <w:bCs/>
                <w:color w:val="FF0000"/>
                <w:lang w:val="en-GB"/>
              </w:rPr>
            </w:pPr>
            <w:r>
              <w:rPr>
                <w:rFonts w:asciiTheme="majorHAnsi" w:eastAsia="Arial" w:hAnsiTheme="majorHAnsi" w:cstheme="majorHAnsi"/>
                <w:bCs/>
                <w:color w:val="FF0000"/>
                <w:lang w:val="en-GB"/>
              </w:rPr>
              <w:t>Appendix 1</w:t>
            </w:r>
          </w:p>
        </w:tc>
      </w:tr>
      <w:tr w:rsidR="00E96343" w:rsidRPr="00711438">
        <w:trPr>
          <w:trHeight w:val="557"/>
        </w:trPr>
        <w:tc>
          <w:tcPr>
            <w:tcW w:w="7655" w:type="dxa"/>
            <w:vAlign w:val="center"/>
          </w:tcPr>
          <w:p w:rsidR="00E96343" w:rsidRDefault="00190EF8">
            <w:pPr>
              <w:shd w:val="clear" w:color="auto" w:fill="FFFFFF" w:themeFill="background1"/>
              <w:rPr>
                <w:rFonts w:asciiTheme="majorHAnsi" w:hAnsiTheme="majorHAnsi" w:cstheme="majorHAnsi"/>
                <w:lang w:val="en-GB"/>
              </w:rPr>
            </w:pPr>
            <w:r>
              <w:rPr>
                <w:rFonts w:asciiTheme="majorHAnsi" w:eastAsia="Arial" w:hAnsiTheme="majorHAnsi" w:cstheme="majorHAnsi"/>
                <w:b/>
                <w:color w:val="FF0000"/>
                <w:sz w:val="24"/>
                <w:szCs w:val="24"/>
                <w:lang w:val="en-GB"/>
              </w:rPr>
              <w:t xml:space="preserve">2- </w:t>
            </w:r>
            <w:r>
              <w:rPr>
                <w:rFonts w:asciiTheme="majorHAnsi" w:hAnsiTheme="majorHAnsi" w:cstheme="majorHAnsi"/>
                <w:b/>
                <w:bCs/>
                <w:lang w:val="en-GB"/>
              </w:rPr>
              <w:t>Proof of the signatory's authority or a delegation of power</w:t>
            </w:r>
            <w:r>
              <w:rPr>
                <w:rFonts w:asciiTheme="majorHAnsi" w:hAnsiTheme="majorHAnsi" w:cstheme="majorHAnsi"/>
                <w:lang w:val="en-GB"/>
              </w:rPr>
              <w:t xml:space="preserve"> identifying the signatory by a person authorized to commit the company.</w:t>
            </w:r>
            <w:r>
              <w:rPr>
                <w:rFonts w:asciiTheme="majorHAnsi" w:hAnsiTheme="majorHAnsi" w:cstheme="majorHAnsi"/>
                <w:lang w:val="en-GB"/>
              </w:rPr>
              <w:br/>
              <w:t xml:space="preserve">In the case of a consortium, the lead partner </w:t>
            </w:r>
            <w:r>
              <w:rPr>
                <w:rFonts w:asciiTheme="majorHAnsi" w:hAnsiTheme="majorHAnsi" w:cstheme="majorHAnsi"/>
                <w:lang w:val="en-GB"/>
              </w:rPr>
              <w:t xml:space="preserve">must provide </w:t>
            </w:r>
            <w:r>
              <w:rPr>
                <w:rFonts w:asciiTheme="majorHAnsi" w:hAnsiTheme="majorHAnsi" w:cstheme="majorHAnsi"/>
                <w:b/>
                <w:bCs/>
                <w:lang w:val="en-GB"/>
              </w:rPr>
              <w:t>proof of authorization to commit the consortium</w:t>
            </w:r>
            <w:r>
              <w:rPr>
                <w:rFonts w:asciiTheme="majorHAnsi" w:hAnsiTheme="majorHAnsi" w:cstheme="majorHAnsi"/>
                <w:lang w:val="en-GB"/>
              </w:rPr>
              <w:t>.</w:t>
            </w:r>
          </w:p>
          <w:p w:rsidR="00E96343" w:rsidRDefault="00190EF8">
            <w:pPr>
              <w:shd w:val="clear" w:color="auto" w:fill="FFFFFF" w:themeFill="background1"/>
              <w:rPr>
                <w:rFonts w:asciiTheme="majorHAnsi" w:hAnsiTheme="majorHAnsi" w:cstheme="majorHAnsi"/>
                <w:lang w:val="en-GB"/>
              </w:rPr>
            </w:pPr>
            <w:r>
              <w:rPr>
                <w:rFonts w:asciiTheme="majorHAnsi" w:hAnsiTheme="majorHAnsi" w:cstheme="majorHAnsi"/>
                <w:lang w:val="en-GB"/>
              </w:rPr>
              <w:t xml:space="preserve">These documents are not mandatory at the application phase. But they must be submitted when the contract is awarded. </w:t>
            </w:r>
          </w:p>
        </w:tc>
        <w:tc>
          <w:tcPr>
            <w:tcW w:w="1843" w:type="dxa"/>
            <w:vAlign w:val="center"/>
          </w:tcPr>
          <w:p w:rsidR="00E96343" w:rsidRDefault="00190EF8">
            <w:pPr>
              <w:shd w:val="clear" w:color="auto" w:fill="FFFFFF" w:themeFill="background1"/>
              <w:jc w:val="center"/>
              <w:rPr>
                <w:rFonts w:asciiTheme="majorHAnsi" w:eastAsia="Arial" w:hAnsiTheme="majorHAnsi" w:cstheme="majorHAnsi"/>
                <w:bCs/>
                <w:color w:val="FF0000"/>
                <w:lang w:val="en-GB"/>
              </w:rPr>
            </w:pPr>
            <w:r>
              <w:rPr>
                <w:rFonts w:asciiTheme="majorHAnsi" w:eastAsia="Arial" w:hAnsiTheme="majorHAnsi" w:cstheme="majorHAnsi"/>
                <w:bCs/>
                <w:color w:val="FF0000"/>
                <w:lang w:val="en-GB"/>
              </w:rPr>
              <w:t>To be provided by the candidate</w:t>
            </w:r>
          </w:p>
        </w:tc>
      </w:tr>
      <w:tr w:rsidR="00E96343">
        <w:trPr>
          <w:trHeight w:val="343"/>
        </w:trPr>
        <w:tc>
          <w:tcPr>
            <w:tcW w:w="7655" w:type="dxa"/>
            <w:vAlign w:val="center"/>
          </w:tcPr>
          <w:p w:rsidR="00E96343" w:rsidRDefault="00190EF8">
            <w:pPr>
              <w:shd w:val="clear" w:color="auto" w:fill="FFFFFF" w:themeFill="background1"/>
              <w:rPr>
                <w:rFonts w:asciiTheme="majorHAnsi" w:eastAsia="Arial" w:hAnsiTheme="majorHAnsi" w:cstheme="majorHAnsi"/>
                <w:bCs/>
                <w:color w:val="000000"/>
                <w:lang w:val="en-GB"/>
              </w:rPr>
            </w:pPr>
            <w:r>
              <w:rPr>
                <w:rFonts w:asciiTheme="majorHAnsi" w:eastAsia="Arial" w:hAnsiTheme="majorHAnsi" w:cstheme="majorHAnsi"/>
                <w:b/>
                <w:bCs/>
                <w:color w:val="FF0000"/>
                <w:sz w:val="24"/>
                <w:szCs w:val="24"/>
                <w:lang w:val="en-GB"/>
              </w:rPr>
              <w:t>3-</w:t>
            </w:r>
            <w:r>
              <w:rPr>
                <w:rFonts w:asciiTheme="majorHAnsi" w:eastAsia="Arial" w:hAnsiTheme="majorHAnsi" w:cstheme="majorHAnsi"/>
                <w:bCs/>
                <w:color w:val="FF0000"/>
                <w:sz w:val="24"/>
                <w:szCs w:val="24"/>
                <w:lang w:val="en-GB"/>
              </w:rPr>
              <w:t xml:space="preserve"> </w:t>
            </w:r>
            <w:r>
              <w:rPr>
                <w:rFonts w:asciiTheme="majorHAnsi" w:eastAsia="Arial" w:hAnsiTheme="majorHAnsi" w:cstheme="majorHAnsi"/>
                <w:b/>
                <w:sz w:val="24"/>
                <w:szCs w:val="24"/>
                <w:lang w:val="en-GB"/>
              </w:rPr>
              <w:t>S</w:t>
            </w:r>
            <w:r>
              <w:rPr>
                <w:rFonts w:asciiTheme="majorHAnsi" w:hAnsiTheme="majorHAnsi" w:cstheme="majorHAnsi"/>
                <w:b/>
                <w:lang w:val="en-GB"/>
              </w:rPr>
              <w:t>worn statement to sign</w:t>
            </w:r>
          </w:p>
        </w:tc>
        <w:tc>
          <w:tcPr>
            <w:tcW w:w="1843" w:type="dxa"/>
            <w:vAlign w:val="center"/>
          </w:tcPr>
          <w:p w:rsidR="00E96343" w:rsidRDefault="00190EF8">
            <w:pPr>
              <w:shd w:val="clear" w:color="auto" w:fill="FFFFFF" w:themeFill="background1"/>
              <w:jc w:val="center"/>
              <w:rPr>
                <w:rFonts w:asciiTheme="majorHAnsi" w:eastAsia="Arial" w:hAnsiTheme="majorHAnsi" w:cstheme="majorHAnsi"/>
                <w:bCs/>
                <w:color w:val="FF0000"/>
                <w:lang w:val="en-GB"/>
              </w:rPr>
            </w:pPr>
            <w:r>
              <w:rPr>
                <w:rFonts w:asciiTheme="majorHAnsi" w:eastAsia="Arial" w:hAnsiTheme="majorHAnsi" w:cstheme="majorHAnsi"/>
                <w:bCs/>
                <w:color w:val="FF0000"/>
                <w:lang w:val="en-GB"/>
              </w:rPr>
              <w:t>Appendix 2</w:t>
            </w:r>
          </w:p>
        </w:tc>
      </w:tr>
      <w:tr w:rsidR="00E96343" w:rsidRPr="00711438">
        <w:trPr>
          <w:trHeight w:val="765"/>
        </w:trPr>
        <w:tc>
          <w:tcPr>
            <w:tcW w:w="7655" w:type="dxa"/>
            <w:vAlign w:val="center"/>
          </w:tcPr>
          <w:p w:rsidR="00E96343" w:rsidRDefault="00190EF8">
            <w:pPr>
              <w:rPr>
                <w:rFonts w:asciiTheme="majorHAnsi" w:hAnsiTheme="majorHAnsi" w:cstheme="majorHAnsi"/>
                <w:lang w:val="en-GB"/>
              </w:rPr>
            </w:pPr>
            <w:r>
              <w:rPr>
                <w:rFonts w:asciiTheme="majorHAnsi" w:eastAsia="Arial" w:hAnsiTheme="majorHAnsi" w:cstheme="majorHAnsi"/>
                <w:b/>
                <w:bCs/>
                <w:color w:val="FF0000"/>
                <w:sz w:val="24"/>
                <w:szCs w:val="24"/>
                <w:lang w:val="en-GB"/>
              </w:rPr>
              <w:lastRenderedPageBreak/>
              <w:t xml:space="preserve">4- </w:t>
            </w:r>
            <w:r>
              <w:rPr>
                <w:rFonts w:asciiTheme="majorHAnsi" w:hAnsiTheme="majorHAnsi" w:cstheme="majorHAnsi"/>
                <w:b/>
                <w:bCs/>
                <w:lang w:val="en-GB"/>
              </w:rPr>
              <w:t>Copy of any court rulings</w:t>
            </w:r>
            <w:r>
              <w:rPr>
                <w:rFonts w:asciiTheme="majorHAnsi" w:hAnsiTheme="majorHAnsi" w:cstheme="majorHAnsi"/>
                <w:lang w:val="en-GB"/>
              </w:rPr>
              <w:t xml:space="preserve"> in the event of court-ordered administration or equivalent legal proceedings abroad,</w:t>
            </w:r>
          </w:p>
          <w:p w:rsidR="00E96343" w:rsidRDefault="00E96343">
            <w:pPr>
              <w:shd w:val="clear" w:color="auto" w:fill="FFFFFF" w:themeFill="background1"/>
              <w:rPr>
                <w:rFonts w:asciiTheme="majorHAnsi" w:eastAsia="Arial" w:hAnsiTheme="majorHAnsi" w:cstheme="majorHAnsi"/>
                <w:lang w:val="en-GB"/>
              </w:rPr>
            </w:pPr>
          </w:p>
        </w:tc>
        <w:tc>
          <w:tcPr>
            <w:tcW w:w="1843" w:type="dxa"/>
            <w:vAlign w:val="center"/>
          </w:tcPr>
          <w:p w:rsidR="00E96343" w:rsidRDefault="00190EF8">
            <w:pPr>
              <w:shd w:val="clear" w:color="auto" w:fill="FFFFFF" w:themeFill="background1"/>
              <w:jc w:val="center"/>
              <w:rPr>
                <w:rFonts w:asciiTheme="majorHAnsi" w:eastAsia="Arial" w:hAnsiTheme="majorHAnsi" w:cstheme="majorHAnsi"/>
                <w:bCs/>
                <w:color w:val="FF0000"/>
                <w:lang w:val="en-GB"/>
              </w:rPr>
            </w:pPr>
            <w:r>
              <w:rPr>
                <w:rFonts w:asciiTheme="majorHAnsi" w:eastAsia="Arial" w:hAnsiTheme="majorHAnsi" w:cstheme="majorHAnsi"/>
                <w:bCs/>
                <w:color w:val="FF0000"/>
                <w:lang w:val="en-GB"/>
              </w:rPr>
              <w:t>To be provided by the candidate</w:t>
            </w:r>
          </w:p>
        </w:tc>
      </w:tr>
      <w:tr w:rsidR="00E96343" w:rsidRPr="00711438">
        <w:trPr>
          <w:trHeight w:val="539"/>
        </w:trPr>
        <w:tc>
          <w:tcPr>
            <w:tcW w:w="7655" w:type="dxa"/>
            <w:vAlign w:val="center"/>
          </w:tcPr>
          <w:p w:rsidR="00E96343" w:rsidRDefault="00190EF8">
            <w:pPr>
              <w:shd w:val="clear" w:color="auto" w:fill="FFFFFF" w:themeFill="background1"/>
              <w:rPr>
                <w:rFonts w:asciiTheme="majorHAnsi" w:eastAsia="Arial" w:hAnsiTheme="majorHAnsi" w:cstheme="majorHAnsi"/>
                <w:b/>
                <w:bCs/>
                <w:color w:val="FF0000"/>
                <w:sz w:val="24"/>
                <w:szCs w:val="24"/>
                <w:lang w:val="en-GB"/>
              </w:rPr>
            </w:pPr>
            <w:r>
              <w:rPr>
                <w:rFonts w:asciiTheme="majorHAnsi" w:eastAsia="Arial" w:hAnsiTheme="majorHAnsi" w:cstheme="majorHAnsi"/>
                <w:b/>
                <w:bCs/>
                <w:color w:val="FF0000"/>
                <w:sz w:val="24"/>
                <w:szCs w:val="24"/>
                <w:lang w:val="en-GB"/>
              </w:rPr>
              <w:t xml:space="preserve">5- </w:t>
            </w:r>
            <w:r>
              <w:rPr>
                <w:rFonts w:asciiTheme="majorHAnsi" w:eastAsia="Arial" w:hAnsiTheme="majorHAnsi" w:cstheme="majorHAnsi"/>
                <w:lang w:val="en-GB"/>
              </w:rPr>
              <w:t>Overall presentation of the firm</w:t>
            </w:r>
          </w:p>
        </w:tc>
        <w:tc>
          <w:tcPr>
            <w:tcW w:w="1843" w:type="dxa"/>
            <w:vAlign w:val="center"/>
          </w:tcPr>
          <w:p w:rsidR="00E96343" w:rsidRDefault="00190EF8">
            <w:pPr>
              <w:shd w:val="clear" w:color="auto" w:fill="FFFFFF" w:themeFill="background1"/>
              <w:jc w:val="center"/>
              <w:rPr>
                <w:rFonts w:asciiTheme="majorHAnsi" w:eastAsia="Arial" w:hAnsiTheme="majorHAnsi" w:cstheme="majorHAnsi"/>
                <w:bCs/>
                <w:color w:val="FF0000"/>
                <w:lang w:val="en-GB"/>
              </w:rPr>
            </w:pPr>
            <w:r>
              <w:rPr>
                <w:rFonts w:asciiTheme="majorHAnsi" w:eastAsia="Arial" w:hAnsiTheme="majorHAnsi" w:cstheme="majorHAnsi"/>
                <w:bCs/>
                <w:color w:val="FF0000"/>
                <w:lang w:val="en-GB"/>
              </w:rPr>
              <w:t>To be provided by the candidate</w:t>
            </w:r>
          </w:p>
        </w:tc>
      </w:tr>
      <w:tr w:rsidR="00E96343">
        <w:trPr>
          <w:trHeight w:val="539"/>
        </w:trPr>
        <w:tc>
          <w:tcPr>
            <w:tcW w:w="7655" w:type="dxa"/>
            <w:vAlign w:val="center"/>
          </w:tcPr>
          <w:p w:rsidR="00E96343" w:rsidRDefault="00190EF8">
            <w:pPr>
              <w:shd w:val="clear" w:color="auto" w:fill="FFFFFF" w:themeFill="background1"/>
              <w:rPr>
                <w:rFonts w:asciiTheme="majorHAnsi" w:eastAsia="Arial" w:hAnsiTheme="majorHAnsi" w:cstheme="majorHAnsi"/>
                <w:b/>
                <w:bCs/>
                <w:color w:val="FF0000"/>
                <w:sz w:val="24"/>
                <w:szCs w:val="24"/>
                <w:lang w:val="en-GB"/>
              </w:rPr>
            </w:pPr>
            <w:r>
              <w:rPr>
                <w:rFonts w:asciiTheme="majorHAnsi" w:eastAsia="Arial" w:hAnsiTheme="majorHAnsi" w:cstheme="majorHAnsi"/>
                <w:b/>
                <w:bCs/>
                <w:color w:val="FF0000"/>
                <w:sz w:val="24"/>
                <w:szCs w:val="24"/>
                <w:lang w:val="en-GB"/>
              </w:rPr>
              <w:t>6-</w:t>
            </w:r>
            <w:r>
              <w:rPr>
                <w:rFonts w:asciiTheme="majorHAnsi" w:eastAsia="Arial" w:hAnsiTheme="majorHAnsi" w:cstheme="majorHAnsi"/>
                <w:bCs/>
                <w:sz w:val="24"/>
                <w:szCs w:val="24"/>
                <w:lang w:val="en-GB"/>
              </w:rPr>
              <w:t xml:space="preserve"> </w:t>
            </w:r>
            <w:r>
              <w:rPr>
                <w:rFonts w:asciiTheme="majorHAnsi" w:eastAsia="Arial" w:hAnsiTheme="majorHAnsi" w:cstheme="majorHAnsi"/>
                <w:bCs/>
                <w:szCs w:val="24"/>
                <w:lang w:val="en-GB"/>
              </w:rPr>
              <w:t>Response document</w:t>
            </w:r>
          </w:p>
        </w:tc>
        <w:tc>
          <w:tcPr>
            <w:tcW w:w="1843" w:type="dxa"/>
            <w:vAlign w:val="center"/>
          </w:tcPr>
          <w:p w:rsidR="00E96343" w:rsidRDefault="00190EF8">
            <w:pPr>
              <w:shd w:val="clear" w:color="auto" w:fill="FFFFFF" w:themeFill="background1"/>
              <w:jc w:val="center"/>
              <w:rPr>
                <w:rFonts w:asciiTheme="majorHAnsi" w:eastAsia="Arial" w:hAnsiTheme="majorHAnsi" w:cstheme="majorHAnsi"/>
                <w:bCs/>
                <w:color w:val="FF0000"/>
                <w:lang w:val="en-GB"/>
              </w:rPr>
            </w:pPr>
            <w:r>
              <w:rPr>
                <w:rFonts w:asciiTheme="majorHAnsi" w:eastAsia="Arial" w:hAnsiTheme="majorHAnsi" w:cstheme="majorHAnsi"/>
                <w:bCs/>
                <w:color w:val="FF0000"/>
                <w:lang w:val="en-GB"/>
              </w:rPr>
              <w:t>Appendix 3</w:t>
            </w:r>
            <w:bookmarkEnd w:id="34"/>
          </w:p>
        </w:tc>
      </w:tr>
    </w:tbl>
    <w:p w:rsidR="00E96343" w:rsidRDefault="00E96343">
      <w:pPr>
        <w:rPr>
          <w:rFonts w:asciiTheme="majorHAnsi" w:hAnsiTheme="majorHAnsi" w:cstheme="majorHAnsi"/>
          <w:b/>
          <w:bCs/>
          <w:color w:val="FF0000"/>
          <w:lang w:val="en-GB"/>
        </w:rPr>
      </w:pPr>
    </w:p>
    <w:p w:rsidR="00E96343" w:rsidRDefault="00190EF8">
      <w:pPr>
        <w:rPr>
          <w:rFonts w:asciiTheme="majorHAnsi" w:hAnsiTheme="majorHAnsi" w:cstheme="majorHAnsi"/>
          <w:b/>
          <w:bCs/>
          <w:color w:val="FF0000"/>
          <w:lang w:val="en-GB"/>
        </w:rPr>
      </w:pPr>
      <w:r>
        <w:rPr>
          <w:rFonts w:asciiTheme="majorHAnsi" w:hAnsiTheme="majorHAnsi" w:cstheme="majorHAnsi"/>
          <w:b/>
          <w:bCs/>
          <w:color w:val="FF0000"/>
          <w:lang w:val="en-GB"/>
        </w:rPr>
        <w:t>The members of the consortium and the subcontractors must also provide information on their financial, professional and technical capacities.</w:t>
      </w:r>
    </w:p>
    <w:p w:rsidR="00E96343" w:rsidRDefault="00E96343">
      <w:pPr>
        <w:rPr>
          <w:rFonts w:asciiTheme="majorHAnsi" w:hAnsiTheme="majorHAnsi" w:cstheme="majorHAnsi"/>
          <w:b/>
          <w:bCs/>
          <w:color w:val="FF0000"/>
          <w:lang w:val="en-GB"/>
        </w:rPr>
      </w:pPr>
    </w:p>
    <w:p w:rsidR="00E96343" w:rsidRDefault="00190EF8">
      <w:pPr>
        <w:rPr>
          <w:rFonts w:asciiTheme="majorHAnsi" w:hAnsiTheme="majorHAnsi" w:cstheme="majorHAnsi"/>
          <w:b/>
          <w:bCs/>
          <w:u w:val="single"/>
          <w:lang w:val="en-GB"/>
        </w:rPr>
      </w:pPr>
      <w:r>
        <w:rPr>
          <w:rFonts w:asciiTheme="majorHAnsi" w:hAnsiTheme="majorHAnsi" w:cstheme="majorHAnsi"/>
          <w:b/>
          <w:bCs/>
          <w:u w:val="single"/>
          <w:lang w:val="en-GB"/>
        </w:rPr>
        <w:t xml:space="preserve">European single document </w:t>
      </w:r>
    </w:p>
    <w:p w:rsidR="00E96343" w:rsidRDefault="00190EF8">
      <w:pPr>
        <w:rPr>
          <w:rFonts w:asciiTheme="majorHAnsi" w:hAnsiTheme="majorHAnsi" w:cstheme="majorHAnsi"/>
          <w:lang w:val="en-GB"/>
        </w:rPr>
      </w:pPr>
      <w:r>
        <w:rPr>
          <w:rFonts w:asciiTheme="majorHAnsi" w:hAnsiTheme="majorHAnsi" w:cstheme="majorHAnsi"/>
          <w:lang w:val="en-GB"/>
        </w:rPr>
        <w:t xml:space="preserve">Bidders may apply using an ESPD (European single procurement document) form. Those who do so, pursuant to Article R2143-4 of the French code of Public Procurement, may use the French government "ESPD Service” available at </w:t>
      </w:r>
      <w:hyperlink r:id="rId12" w:tooltip="https://dume.chorus-pro.gouv.fr" w:history="1">
        <w:r>
          <w:rPr>
            <w:rStyle w:val="Lienhypertexte"/>
            <w:rFonts w:asciiTheme="majorHAnsi" w:hAnsiTheme="majorHAnsi" w:cstheme="majorHAnsi"/>
            <w:lang w:val="en-GB"/>
          </w:rPr>
          <w:t>https://dume.chorus-pro.gouv.fr</w:t>
        </w:r>
      </w:hyperlink>
      <w:r>
        <w:rPr>
          <w:rStyle w:val="Lienhypertexte"/>
          <w:rFonts w:asciiTheme="majorHAnsi" w:hAnsiTheme="majorHAnsi" w:cstheme="majorHAnsi"/>
          <w:lang w:val="en-GB"/>
        </w:rPr>
        <w:t xml:space="preserve"> </w:t>
      </w:r>
      <w:r>
        <w:rPr>
          <w:rFonts w:asciiTheme="majorHAnsi" w:hAnsiTheme="majorHAnsi" w:cstheme="majorHAnsi"/>
          <w:lang w:val="en-GB"/>
        </w:rPr>
        <w:t xml:space="preserve">Or use the service provided by the European Commission </w:t>
      </w:r>
      <w:hyperlink r:id="rId13" w:tooltip="https://ec.europa.eu/tools/espd" w:history="1">
        <w:r>
          <w:rPr>
            <w:rStyle w:val="Lienhypertexte"/>
            <w:rFonts w:asciiTheme="majorHAnsi" w:hAnsiTheme="majorHAnsi" w:cstheme="majorHAnsi"/>
            <w:lang w:val="en-GB"/>
          </w:rPr>
          <w:t>https://ec.europa.eu/tools/espd</w:t>
        </w:r>
      </w:hyperlink>
      <w:r>
        <w:rPr>
          <w:rFonts w:asciiTheme="majorHAnsi" w:hAnsiTheme="majorHAnsi" w:cstheme="majorHAnsi"/>
          <w:lang w:val="en-GB"/>
        </w:rPr>
        <w:t>.</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b/>
          <w:bCs/>
          <w:u w:val="single"/>
          <w:lang w:val="en-GB"/>
        </w:rPr>
        <w:t xml:space="preserve">Information available online </w:t>
      </w:r>
    </w:p>
    <w:p w:rsidR="00E96343" w:rsidRDefault="00190EF8">
      <w:pPr>
        <w:rPr>
          <w:rFonts w:asciiTheme="majorHAnsi" w:hAnsiTheme="majorHAnsi" w:cstheme="majorHAnsi"/>
          <w:lang w:val="en-GB"/>
        </w:rPr>
      </w:pPr>
      <w:r>
        <w:rPr>
          <w:rFonts w:asciiTheme="majorHAnsi" w:hAnsiTheme="majorHAnsi" w:cstheme="majorHAnsi"/>
          <w:lang w:val="en-GB"/>
        </w:rPr>
        <w:t>Pursuant to provisions of Article R2143-13 of the French code of Public Procurement, bidders are not obliged to supply supporting documentation and evidence the cont</w:t>
      </w:r>
      <w:r>
        <w:rPr>
          <w:rFonts w:asciiTheme="majorHAnsi" w:hAnsiTheme="majorHAnsi" w:cstheme="majorHAnsi"/>
          <w:lang w:val="en-GB"/>
        </w:rPr>
        <w:t>racting authority can obtain online from available data managed by an official organisation or an online storage platform, provided the application file includes all necessary details how to view the system or platform and access thereto is free of charge.</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b/>
          <w:bCs/>
          <w:u w:val="single"/>
          <w:lang w:val="en-GB"/>
        </w:rPr>
      </w:pPr>
      <w:r>
        <w:rPr>
          <w:rFonts w:asciiTheme="majorHAnsi" w:hAnsiTheme="majorHAnsi" w:cstheme="majorHAnsi"/>
          <w:b/>
          <w:bCs/>
          <w:u w:val="single"/>
          <w:lang w:val="en-GB"/>
        </w:rPr>
        <w:t xml:space="preserve">Conditions for assessing a grouped application </w:t>
      </w:r>
    </w:p>
    <w:p w:rsidR="00E96343" w:rsidRDefault="00190EF8">
      <w:pPr>
        <w:rPr>
          <w:rFonts w:asciiTheme="majorHAnsi" w:hAnsiTheme="majorHAnsi" w:cstheme="majorHAnsi"/>
          <w:lang w:val="en-GB"/>
        </w:rPr>
      </w:pPr>
      <w:r>
        <w:rPr>
          <w:rFonts w:asciiTheme="majorHAnsi" w:hAnsiTheme="majorHAnsi" w:cstheme="majorHAnsi"/>
          <w:lang w:val="en-GB"/>
        </w:rPr>
        <w:t>To demonstrate its professional, technical, or financial capacities, a company may submit its application as part of a consortium with other companies (legal entities or sole proprietorships) or resort to s</w:t>
      </w:r>
      <w:r>
        <w:rPr>
          <w:rFonts w:asciiTheme="majorHAnsi" w:hAnsiTheme="majorHAnsi" w:cstheme="majorHAnsi"/>
          <w:lang w:val="en-GB"/>
        </w:rPr>
        <w:t>ubcontracting. The assessment of the professional, technical, and financial capacities of the consortium members is made collectively: it is not required that each company possesses all the skills necessary for the execution of the contract. However, in su</w:t>
      </w:r>
      <w:r>
        <w:rPr>
          <w:rFonts w:asciiTheme="majorHAnsi" w:hAnsiTheme="majorHAnsi" w:cstheme="majorHAnsi"/>
          <w:lang w:val="en-GB"/>
        </w:rPr>
        <w:t>ch cases, each company forming the consortium must provide all the documents and information related to the application as requested in the notice and the present consultation rules. The same applies in the case of subcontracting.</w:t>
      </w:r>
    </w:p>
    <w:p w:rsidR="00E96343" w:rsidRDefault="00E96343">
      <w:pPr>
        <w:rPr>
          <w:rFonts w:asciiTheme="majorHAnsi" w:hAnsiTheme="majorHAnsi" w:cstheme="majorHAnsi"/>
          <w:lang w:val="en-GB"/>
        </w:rPr>
      </w:pPr>
    </w:p>
    <w:p w:rsidR="00E96343" w:rsidRDefault="00190EF8">
      <w:pPr>
        <w:rPr>
          <w:rFonts w:asciiTheme="majorHAnsi" w:hAnsiTheme="majorHAnsi" w:cstheme="majorHAnsi"/>
          <w:b/>
          <w:bCs/>
          <w:u w:val="single"/>
          <w:lang w:val="en-GB"/>
        </w:rPr>
      </w:pPr>
      <w:r>
        <w:rPr>
          <w:rFonts w:asciiTheme="majorHAnsi" w:hAnsiTheme="majorHAnsi" w:cstheme="majorHAnsi"/>
          <w:b/>
          <w:bCs/>
          <w:u w:val="single"/>
          <w:lang w:val="en-GB"/>
        </w:rPr>
        <w:t>Regularization of applic</w:t>
      </w:r>
      <w:r>
        <w:rPr>
          <w:rFonts w:asciiTheme="majorHAnsi" w:hAnsiTheme="majorHAnsi" w:cstheme="majorHAnsi"/>
          <w:b/>
          <w:bCs/>
          <w:u w:val="single"/>
          <w:lang w:val="en-GB"/>
        </w:rPr>
        <w:t xml:space="preserve">ations </w:t>
      </w:r>
    </w:p>
    <w:p w:rsidR="00E96343" w:rsidRDefault="00190EF8">
      <w:pPr>
        <w:rPr>
          <w:rFonts w:asciiTheme="majorHAnsi" w:hAnsiTheme="majorHAnsi" w:cstheme="majorHAnsi"/>
          <w:lang w:val="en-GB"/>
        </w:rPr>
      </w:pPr>
      <w:r>
        <w:rPr>
          <w:rFonts w:asciiTheme="majorHAnsi" w:hAnsiTheme="majorHAnsi" w:cstheme="majorHAnsi"/>
          <w:lang w:val="en-GB"/>
        </w:rPr>
        <w:t>Pursuant to Article R2144-1 to R2144-7 of the French code of Public Procurement, Ifremer reserves the right to require bidders involved to complete applications within a reasonable timeframe that shall be the same for all bidders.</w:t>
      </w:r>
    </w:p>
    <w:p w:rsidR="00E96343" w:rsidRDefault="00E96343">
      <w:pPr>
        <w:rPr>
          <w:rFonts w:asciiTheme="majorHAnsi" w:hAnsiTheme="majorHAnsi" w:cstheme="majorHAnsi"/>
          <w:lang w:val="en-GB"/>
        </w:rPr>
      </w:pPr>
    </w:p>
    <w:p w:rsidR="00E96343" w:rsidRDefault="00190EF8">
      <w:pPr>
        <w:pStyle w:val="Titre1"/>
        <w:rPr>
          <w:rFonts w:cstheme="majorHAnsi"/>
          <w:lang w:val="en-GB"/>
        </w:rPr>
      </w:pPr>
      <w:bookmarkStart w:id="35" w:name="_Toc210376509"/>
      <w:r>
        <w:rPr>
          <w:rFonts w:cstheme="majorHAnsi"/>
          <w:lang w:val="en-GB"/>
        </w:rPr>
        <w:lastRenderedPageBreak/>
        <w:t>Application sele</w:t>
      </w:r>
      <w:r>
        <w:rPr>
          <w:rFonts w:cstheme="majorHAnsi"/>
          <w:lang w:val="en-GB"/>
        </w:rPr>
        <w:t>ction criteria</w:t>
      </w:r>
      <w:bookmarkEnd w:id="35"/>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Applications will be evaluated on the basis of the application file (see Annex 3) and the documents listed in Article 7 above.</w:t>
      </w:r>
    </w:p>
    <w:p w:rsidR="00E96343" w:rsidRDefault="00190EF8">
      <w:pPr>
        <w:rPr>
          <w:rFonts w:asciiTheme="majorHAnsi" w:hAnsiTheme="majorHAnsi" w:cstheme="majorHAnsi"/>
          <w:lang w:val="en-GB"/>
        </w:rPr>
      </w:pPr>
      <w:r>
        <w:rPr>
          <w:rFonts w:asciiTheme="majorHAnsi" w:hAnsiTheme="majorHAnsi" w:cstheme="majorHAnsi"/>
          <w:lang w:val="en-GB"/>
        </w:rPr>
        <w:t>In order to select the 3 candidates admitted to submit an offer, Ifremer will analyse the applications and establ</w:t>
      </w:r>
      <w:r>
        <w:rPr>
          <w:rFonts w:asciiTheme="majorHAnsi" w:hAnsiTheme="majorHAnsi" w:cstheme="majorHAnsi"/>
          <w:lang w:val="en-GB"/>
        </w:rPr>
        <w:t>ish a ranking on the basis of the following application selection criteria:</w:t>
      </w:r>
    </w:p>
    <w:p w:rsidR="00E96343" w:rsidRDefault="00E96343">
      <w:pPr>
        <w:rPr>
          <w:rFonts w:asciiTheme="majorHAnsi" w:hAnsiTheme="majorHAnsi" w:cstheme="majorHAnsi"/>
          <w:lang w:val="en-GB"/>
        </w:rPr>
      </w:pPr>
    </w:p>
    <w:p w:rsidR="00E96343" w:rsidRDefault="00E96343">
      <w:pPr>
        <w:rPr>
          <w:rFonts w:asciiTheme="majorHAnsi" w:hAnsiTheme="majorHAnsi" w:cstheme="majorHAnsi"/>
          <w:lang w:val="en-GB"/>
        </w:rPr>
      </w:pPr>
    </w:p>
    <w:p w:rsidR="00E96343" w:rsidRDefault="00E96343">
      <w:pPr>
        <w:rPr>
          <w:rFonts w:asciiTheme="majorHAnsi" w:hAnsiTheme="majorHAnsi" w:cstheme="majorHAnsi"/>
          <w:lang w:val="en-GB"/>
        </w:rPr>
      </w:pPr>
    </w:p>
    <w:p w:rsidR="00E96343" w:rsidRDefault="00E96343">
      <w:pPr>
        <w:rPr>
          <w:rFonts w:asciiTheme="majorHAnsi" w:hAnsiTheme="majorHAnsi" w:cstheme="majorHAnsi"/>
          <w:lang w:val="en-GB"/>
        </w:rPr>
      </w:pPr>
    </w:p>
    <w:tbl>
      <w:tblPr>
        <w:tblStyle w:val="Grilledutableau"/>
        <w:tblW w:w="0" w:type="auto"/>
        <w:tblLook w:val="04A0" w:firstRow="1" w:lastRow="0" w:firstColumn="1" w:lastColumn="0" w:noHBand="0" w:noVBand="1"/>
      </w:tblPr>
      <w:tblGrid>
        <w:gridCol w:w="2968"/>
        <w:gridCol w:w="5351"/>
        <w:gridCol w:w="741"/>
      </w:tblGrid>
      <w:tr w:rsidR="00E96343">
        <w:trPr>
          <w:trHeight w:val="300"/>
        </w:trPr>
        <w:tc>
          <w:tcPr>
            <w:tcW w:w="2968" w:type="dxa"/>
            <w:vMerge w:val="restart"/>
            <w:noWrap/>
            <w:vAlign w:val="center"/>
          </w:tcPr>
          <w:p w:rsidR="00E96343" w:rsidRDefault="00190EF8">
            <w:pPr>
              <w:jc w:val="center"/>
              <w:rPr>
                <w:rFonts w:asciiTheme="majorHAnsi" w:hAnsiTheme="majorHAnsi" w:cstheme="majorHAnsi"/>
                <w:b/>
                <w:bCs/>
                <w:lang w:val="en-GB"/>
              </w:rPr>
            </w:pPr>
            <w:r>
              <w:rPr>
                <w:rFonts w:asciiTheme="majorHAnsi" w:hAnsiTheme="majorHAnsi" w:cstheme="majorHAnsi"/>
                <w:b/>
                <w:bCs/>
                <w:lang w:val="en-GB"/>
              </w:rPr>
              <w:t>Internal organization</w:t>
            </w:r>
          </w:p>
        </w:tc>
        <w:tc>
          <w:tcPr>
            <w:tcW w:w="5351" w:type="dxa"/>
            <w:noWrap/>
            <w:vAlign w:val="center"/>
          </w:tcPr>
          <w:p w:rsidR="00E96343" w:rsidRDefault="00190EF8">
            <w:pPr>
              <w:rPr>
                <w:rFonts w:asciiTheme="majorHAnsi" w:hAnsiTheme="majorHAnsi" w:cstheme="majorHAnsi"/>
                <w:lang w:val="en-GB"/>
              </w:rPr>
            </w:pPr>
            <w:r>
              <w:rPr>
                <w:rFonts w:asciiTheme="majorHAnsi" w:hAnsiTheme="majorHAnsi" w:cstheme="majorHAnsi"/>
                <w:lang w:val="en-GB"/>
              </w:rPr>
              <w:t>Quality and control procedures</w:t>
            </w:r>
          </w:p>
        </w:tc>
        <w:tc>
          <w:tcPr>
            <w:tcW w:w="741" w:type="dxa"/>
            <w:noWrap/>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3</w:t>
            </w:r>
          </w:p>
        </w:tc>
      </w:tr>
      <w:tr w:rsidR="00E96343">
        <w:trPr>
          <w:trHeight w:val="315"/>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lang w:val="en-GB"/>
              </w:rPr>
            </w:pPr>
            <w:r>
              <w:rPr>
                <w:rFonts w:asciiTheme="majorHAnsi" w:hAnsiTheme="majorHAnsi" w:cstheme="majorHAnsi"/>
                <w:lang w:val="en-GB"/>
              </w:rPr>
              <w:t>ISO 9001 certification or equivalent</w:t>
            </w:r>
          </w:p>
        </w:tc>
        <w:tc>
          <w:tcPr>
            <w:tcW w:w="741" w:type="dxa"/>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2</w:t>
            </w:r>
          </w:p>
        </w:tc>
      </w:tr>
      <w:tr w:rsidR="00E96343">
        <w:trPr>
          <w:trHeight w:val="300"/>
        </w:trPr>
        <w:tc>
          <w:tcPr>
            <w:tcW w:w="2968" w:type="dxa"/>
            <w:vMerge w:val="restart"/>
            <w:noWrap/>
            <w:vAlign w:val="center"/>
          </w:tcPr>
          <w:p w:rsidR="00E96343" w:rsidRDefault="00190EF8">
            <w:pPr>
              <w:jc w:val="center"/>
              <w:rPr>
                <w:rFonts w:asciiTheme="majorHAnsi" w:hAnsiTheme="majorHAnsi" w:cstheme="majorHAnsi"/>
                <w:b/>
                <w:bCs/>
                <w:lang w:val="en-GB"/>
              </w:rPr>
            </w:pPr>
            <w:r>
              <w:rPr>
                <w:rFonts w:asciiTheme="majorHAnsi" w:hAnsiTheme="majorHAnsi" w:cstheme="majorHAnsi"/>
                <w:b/>
                <w:bCs/>
                <w:lang w:val="en-GB"/>
              </w:rPr>
              <w:t>Project management</w:t>
            </w:r>
          </w:p>
        </w:tc>
        <w:tc>
          <w:tcPr>
            <w:tcW w:w="5351" w:type="dxa"/>
            <w:noWrap/>
            <w:vAlign w:val="center"/>
          </w:tcPr>
          <w:p w:rsidR="00E96343" w:rsidRDefault="00190EF8">
            <w:pPr>
              <w:rPr>
                <w:rFonts w:asciiTheme="majorHAnsi" w:hAnsiTheme="majorHAnsi" w:cstheme="majorHAnsi"/>
                <w:color w:val="FF0000"/>
              </w:rPr>
            </w:pPr>
            <w:r>
              <w:rPr>
                <w:rFonts w:asciiTheme="majorHAnsi" w:hAnsiTheme="majorHAnsi" w:cstheme="majorHAnsi"/>
                <w:color w:val="FF0000"/>
                <w:lang w:val="en-GB"/>
              </w:rPr>
              <w:t>Project management methodology</w:t>
            </w:r>
          </w:p>
        </w:tc>
        <w:tc>
          <w:tcPr>
            <w:tcW w:w="741" w:type="dxa"/>
            <w:noWrap/>
            <w:vAlign w:val="center"/>
          </w:tcPr>
          <w:p w:rsidR="00E96343" w:rsidRDefault="00190EF8">
            <w:pPr>
              <w:jc w:val="center"/>
              <w:rPr>
                <w:rFonts w:asciiTheme="majorHAnsi" w:hAnsiTheme="majorHAnsi" w:cstheme="majorHAnsi"/>
                <w:color w:val="FF0000"/>
              </w:rPr>
            </w:pPr>
            <w:r>
              <w:rPr>
                <w:rFonts w:asciiTheme="majorHAnsi" w:hAnsiTheme="majorHAnsi" w:cstheme="majorHAnsi"/>
                <w:color w:val="FF0000"/>
                <w:lang w:val="en-GB"/>
              </w:rPr>
              <w:t>9</w:t>
            </w:r>
          </w:p>
        </w:tc>
      </w:tr>
      <w:tr w:rsidR="00E96343">
        <w:trPr>
          <w:trHeight w:val="315"/>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Pr="00711438" w:rsidRDefault="00190EF8">
            <w:pPr>
              <w:rPr>
                <w:rFonts w:asciiTheme="majorHAnsi" w:hAnsiTheme="majorHAnsi" w:cstheme="majorHAnsi"/>
                <w:color w:val="FF0000"/>
                <w:lang w:val="en-GB"/>
              </w:rPr>
            </w:pPr>
            <w:r>
              <w:rPr>
                <w:rFonts w:asciiTheme="majorHAnsi" w:hAnsiTheme="majorHAnsi" w:cstheme="majorHAnsi"/>
                <w:color w:val="FF0000"/>
                <w:lang w:val="en-GB"/>
              </w:rPr>
              <w:t xml:space="preserve">Detailed CVs of key team members </w:t>
            </w:r>
          </w:p>
        </w:tc>
        <w:tc>
          <w:tcPr>
            <w:tcW w:w="741" w:type="dxa"/>
            <w:vAlign w:val="center"/>
          </w:tcPr>
          <w:p w:rsidR="00E96343" w:rsidRDefault="00190EF8">
            <w:pPr>
              <w:jc w:val="center"/>
              <w:rPr>
                <w:rFonts w:asciiTheme="majorHAnsi" w:hAnsiTheme="majorHAnsi" w:cstheme="majorHAnsi"/>
                <w:color w:val="FF0000"/>
              </w:rPr>
            </w:pPr>
            <w:r>
              <w:rPr>
                <w:rFonts w:asciiTheme="majorHAnsi" w:hAnsiTheme="majorHAnsi" w:cstheme="majorHAnsi"/>
                <w:color w:val="FF0000"/>
                <w:lang w:val="en-GB"/>
              </w:rPr>
              <w:t>8</w:t>
            </w:r>
          </w:p>
        </w:tc>
      </w:tr>
      <w:tr w:rsidR="00E96343">
        <w:trPr>
          <w:trHeight w:val="315"/>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color w:val="FF0000"/>
              </w:rPr>
            </w:pPr>
            <w:r>
              <w:rPr>
                <w:rFonts w:asciiTheme="majorHAnsi" w:hAnsiTheme="majorHAnsi" w:cstheme="majorHAnsi"/>
                <w:color w:val="FF0000"/>
                <w:lang w:val="en-GB"/>
              </w:rPr>
              <w:t>Communication and reporting</w:t>
            </w:r>
          </w:p>
        </w:tc>
        <w:tc>
          <w:tcPr>
            <w:tcW w:w="741" w:type="dxa"/>
            <w:vAlign w:val="center"/>
          </w:tcPr>
          <w:p w:rsidR="00E96343" w:rsidRDefault="00190EF8">
            <w:pPr>
              <w:jc w:val="center"/>
              <w:rPr>
                <w:rFonts w:asciiTheme="majorHAnsi" w:hAnsiTheme="majorHAnsi" w:cstheme="majorHAnsi"/>
                <w:color w:val="FF0000"/>
              </w:rPr>
            </w:pPr>
            <w:r>
              <w:rPr>
                <w:rFonts w:asciiTheme="majorHAnsi" w:hAnsiTheme="majorHAnsi" w:cstheme="majorHAnsi"/>
                <w:color w:val="FF0000"/>
                <w:lang w:val="en-GB"/>
              </w:rPr>
              <w:t>6</w:t>
            </w:r>
          </w:p>
        </w:tc>
      </w:tr>
      <w:tr w:rsidR="00E96343">
        <w:trPr>
          <w:trHeight w:val="400"/>
        </w:trPr>
        <w:tc>
          <w:tcPr>
            <w:tcW w:w="2968" w:type="dxa"/>
            <w:vMerge/>
            <w:noWrap/>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rPr>
            </w:pPr>
            <w:r>
              <w:rPr>
                <w:rFonts w:asciiTheme="majorHAnsi" w:hAnsiTheme="majorHAnsi" w:cstheme="majorHAnsi"/>
                <w:lang w:val="en-GB"/>
              </w:rPr>
              <w:t>Planning and monitoring tools</w:t>
            </w:r>
          </w:p>
        </w:tc>
        <w:tc>
          <w:tcPr>
            <w:tcW w:w="741" w:type="dxa"/>
            <w:noWrap/>
            <w:vAlign w:val="center"/>
          </w:tcPr>
          <w:p w:rsidR="00E96343" w:rsidRDefault="00190EF8">
            <w:pPr>
              <w:jc w:val="center"/>
              <w:rPr>
                <w:rFonts w:asciiTheme="majorHAnsi" w:hAnsiTheme="majorHAnsi" w:cstheme="majorHAnsi"/>
              </w:rPr>
            </w:pPr>
            <w:r>
              <w:rPr>
                <w:rFonts w:asciiTheme="majorHAnsi" w:hAnsiTheme="majorHAnsi" w:cstheme="majorHAnsi"/>
                <w:lang w:val="en-GB"/>
              </w:rPr>
              <w:t>4</w:t>
            </w:r>
          </w:p>
        </w:tc>
      </w:tr>
      <w:tr w:rsidR="00E96343">
        <w:trPr>
          <w:trHeight w:val="675"/>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Pr="00711438" w:rsidRDefault="00190EF8">
            <w:pPr>
              <w:rPr>
                <w:rFonts w:asciiTheme="majorHAnsi" w:hAnsiTheme="majorHAnsi" w:cstheme="majorHAnsi"/>
                <w:lang w:val="en-GB"/>
              </w:rPr>
            </w:pPr>
            <w:r>
              <w:rPr>
                <w:rFonts w:asciiTheme="majorHAnsi" w:hAnsiTheme="majorHAnsi" w:cstheme="majorHAnsi"/>
                <w:lang w:val="en-GB"/>
              </w:rPr>
              <w:t>Competence maintenance and development plan over contract duration</w:t>
            </w:r>
          </w:p>
        </w:tc>
        <w:tc>
          <w:tcPr>
            <w:tcW w:w="741" w:type="dxa"/>
            <w:vAlign w:val="center"/>
          </w:tcPr>
          <w:p w:rsidR="00E96343" w:rsidRDefault="00190EF8">
            <w:pPr>
              <w:jc w:val="center"/>
              <w:rPr>
                <w:rFonts w:asciiTheme="majorHAnsi" w:hAnsiTheme="majorHAnsi" w:cstheme="majorHAnsi"/>
              </w:rPr>
            </w:pPr>
            <w:r>
              <w:rPr>
                <w:rFonts w:asciiTheme="majorHAnsi" w:hAnsiTheme="majorHAnsi" w:cstheme="majorHAnsi"/>
                <w:lang w:val="en-GB"/>
              </w:rPr>
              <w:t>3</w:t>
            </w:r>
          </w:p>
        </w:tc>
      </w:tr>
      <w:tr w:rsidR="00E96343">
        <w:trPr>
          <w:trHeight w:val="300"/>
        </w:trPr>
        <w:tc>
          <w:tcPr>
            <w:tcW w:w="2968" w:type="dxa"/>
            <w:vMerge w:val="restart"/>
            <w:noWrap/>
            <w:vAlign w:val="center"/>
          </w:tcPr>
          <w:p w:rsidR="00E96343" w:rsidRDefault="00190EF8">
            <w:pPr>
              <w:jc w:val="center"/>
              <w:rPr>
                <w:rFonts w:asciiTheme="majorHAnsi" w:hAnsiTheme="majorHAnsi" w:cstheme="majorHAnsi"/>
                <w:b/>
                <w:bCs/>
                <w:lang w:val="en-GB"/>
              </w:rPr>
            </w:pPr>
            <w:r>
              <w:rPr>
                <w:rFonts w:asciiTheme="majorHAnsi" w:hAnsiTheme="majorHAnsi" w:cstheme="majorHAnsi"/>
                <w:b/>
                <w:bCs/>
                <w:lang w:val="en-GB"/>
              </w:rPr>
              <w:t>Technical references</w:t>
            </w:r>
          </w:p>
          <w:p w:rsidR="00E96343" w:rsidRDefault="00190EF8">
            <w:pPr>
              <w:jc w:val="center"/>
              <w:rPr>
                <w:rFonts w:asciiTheme="majorHAnsi" w:hAnsiTheme="majorHAnsi" w:cstheme="majorHAnsi"/>
                <w:b/>
                <w:bCs/>
                <w:lang w:val="en-GB"/>
              </w:rPr>
            </w:pPr>
            <w:r>
              <w:rPr>
                <w:rFonts w:asciiTheme="majorHAnsi" w:hAnsiTheme="majorHAnsi" w:cstheme="majorHAnsi"/>
                <w:lang w:val="en-GB"/>
              </w:rPr>
              <w:t>Please provide up to five technical references from the past ten years. You should present the references you consider most relevant in view of the project.</w:t>
            </w:r>
          </w:p>
        </w:tc>
        <w:tc>
          <w:tcPr>
            <w:tcW w:w="5351" w:type="dxa"/>
            <w:noWrap/>
            <w:vAlign w:val="center"/>
          </w:tcPr>
          <w:p w:rsidR="00E96343" w:rsidRDefault="00190EF8">
            <w:pPr>
              <w:rPr>
                <w:rFonts w:asciiTheme="majorHAnsi" w:hAnsiTheme="majorHAnsi" w:cstheme="majorHAnsi"/>
                <w:color w:val="FF0000"/>
              </w:rPr>
            </w:pPr>
            <w:r>
              <w:rPr>
                <w:rFonts w:asciiTheme="majorHAnsi" w:hAnsiTheme="majorHAnsi" w:cstheme="majorHAnsi"/>
                <w:color w:val="FF0000"/>
                <w:lang w:val="en-GB"/>
              </w:rPr>
              <w:t>Scientific vessels</w:t>
            </w:r>
          </w:p>
        </w:tc>
        <w:tc>
          <w:tcPr>
            <w:tcW w:w="741" w:type="dxa"/>
            <w:noWrap/>
            <w:vAlign w:val="center"/>
          </w:tcPr>
          <w:p w:rsidR="00E96343" w:rsidRDefault="00190EF8">
            <w:pPr>
              <w:jc w:val="center"/>
              <w:rPr>
                <w:rFonts w:asciiTheme="majorHAnsi" w:hAnsiTheme="majorHAnsi" w:cstheme="majorHAnsi"/>
                <w:color w:val="FF0000"/>
              </w:rPr>
            </w:pPr>
            <w:r>
              <w:rPr>
                <w:rFonts w:asciiTheme="majorHAnsi" w:hAnsiTheme="majorHAnsi" w:cstheme="majorHAnsi"/>
                <w:color w:val="FF0000"/>
                <w:lang w:val="en-GB"/>
              </w:rPr>
              <w:t>18</w:t>
            </w:r>
          </w:p>
        </w:tc>
      </w:tr>
      <w:tr w:rsidR="00E96343">
        <w:trPr>
          <w:trHeight w:val="315"/>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color w:val="FF0000"/>
              </w:rPr>
            </w:pPr>
            <w:r>
              <w:rPr>
                <w:rFonts w:asciiTheme="majorHAnsi" w:hAnsiTheme="majorHAnsi" w:cstheme="majorHAnsi"/>
                <w:color w:val="FF0000"/>
                <w:lang w:val="en-GB"/>
              </w:rPr>
              <w:t>Polar vessel (minimum PC6)</w:t>
            </w:r>
          </w:p>
        </w:tc>
        <w:tc>
          <w:tcPr>
            <w:tcW w:w="741" w:type="dxa"/>
            <w:noWrap/>
            <w:vAlign w:val="center"/>
          </w:tcPr>
          <w:p w:rsidR="00E96343" w:rsidRDefault="00190EF8">
            <w:pPr>
              <w:jc w:val="center"/>
              <w:rPr>
                <w:rFonts w:asciiTheme="majorHAnsi" w:hAnsiTheme="majorHAnsi" w:cstheme="majorHAnsi"/>
                <w:color w:val="FF0000"/>
              </w:rPr>
            </w:pPr>
            <w:r>
              <w:rPr>
                <w:rFonts w:asciiTheme="majorHAnsi" w:hAnsiTheme="majorHAnsi" w:cstheme="majorHAnsi"/>
                <w:color w:val="FF0000"/>
                <w:lang w:val="en-GB"/>
              </w:rPr>
              <w:t>9</w:t>
            </w:r>
          </w:p>
        </w:tc>
      </w:tr>
      <w:tr w:rsidR="00E96343">
        <w:trPr>
          <w:trHeight w:val="300"/>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color w:val="FF0000"/>
              </w:rPr>
            </w:pPr>
            <w:r>
              <w:rPr>
                <w:rFonts w:asciiTheme="majorHAnsi" w:hAnsiTheme="majorHAnsi" w:cstheme="majorHAnsi"/>
                <w:color w:val="FF0000"/>
                <w:lang w:val="en-GB"/>
              </w:rPr>
              <w:t>Wind Assisted Ship Propulsion</w:t>
            </w:r>
          </w:p>
        </w:tc>
        <w:tc>
          <w:tcPr>
            <w:tcW w:w="741" w:type="dxa"/>
            <w:noWrap/>
            <w:vAlign w:val="center"/>
          </w:tcPr>
          <w:p w:rsidR="00E96343" w:rsidRDefault="00190EF8">
            <w:pPr>
              <w:jc w:val="center"/>
              <w:rPr>
                <w:rFonts w:asciiTheme="majorHAnsi" w:hAnsiTheme="majorHAnsi" w:cstheme="majorHAnsi"/>
                <w:color w:val="FF0000"/>
              </w:rPr>
            </w:pPr>
            <w:r>
              <w:rPr>
                <w:rFonts w:asciiTheme="majorHAnsi" w:hAnsiTheme="majorHAnsi" w:cstheme="majorHAnsi"/>
                <w:color w:val="FF0000"/>
                <w:lang w:val="en-GB"/>
              </w:rPr>
              <w:t>8</w:t>
            </w:r>
          </w:p>
        </w:tc>
      </w:tr>
      <w:tr w:rsidR="00E96343">
        <w:trPr>
          <w:trHeight w:val="300"/>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lang w:val="en-GB"/>
              </w:rPr>
            </w:pPr>
            <w:r>
              <w:rPr>
                <w:rFonts w:asciiTheme="majorHAnsi" w:hAnsiTheme="majorHAnsi" w:cstheme="majorHAnsi"/>
                <w:lang w:val="en-GB"/>
              </w:rPr>
              <w:t>Technical complexity and solution innovation on previous projects</w:t>
            </w:r>
          </w:p>
        </w:tc>
        <w:tc>
          <w:tcPr>
            <w:tcW w:w="741" w:type="dxa"/>
            <w:noWrap/>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6</w:t>
            </w:r>
          </w:p>
        </w:tc>
      </w:tr>
      <w:tr w:rsidR="00E96343">
        <w:trPr>
          <w:trHeight w:val="315"/>
        </w:trPr>
        <w:tc>
          <w:tcPr>
            <w:tcW w:w="2968" w:type="dxa"/>
            <w:vMerge/>
            <w:vAlign w:val="center"/>
          </w:tcPr>
          <w:p w:rsidR="00E96343" w:rsidRDefault="00E96343">
            <w:pPr>
              <w:jc w:val="cente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lang w:val="en-GB"/>
              </w:rPr>
            </w:pPr>
            <w:r>
              <w:rPr>
                <w:rFonts w:asciiTheme="majorHAnsi" w:hAnsiTheme="majorHAnsi" w:cstheme="majorHAnsi"/>
                <w:lang w:val="en-GB"/>
              </w:rPr>
              <w:t>Adherence to schedules and budgets on previous projects</w:t>
            </w:r>
          </w:p>
        </w:tc>
        <w:tc>
          <w:tcPr>
            <w:tcW w:w="741" w:type="dxa"/>
            <w:noWrap/>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6</w:t>
            </w:r>
          </w:p>
        </w:tc>
      </w:tr>
      <w:tr w:rsidR="00E96343">
        <w:trPr>
          <w:trHeight w:val="283"/>
        </w:trPr>
        <w:tc>
          <w:tcPr>
            <w:tcW w:w="2968" w:type="dxa"/>
            <w:vMerge w:val="restart"/>
            <w:noWrap/>
            <w:vAlign w:val="center"/>
          </w:tcPr>
          <w:p w:rsidR="00E96343" w:rsidRDefault="00190EF8">
            <w:pPr>
              <w:jc w:val="center"/>
              <w:rPr>
                <w:rFonts w:asciiTheme="majorHAnsi" w:hAnsiTheme="majorHAnsi" w:cstheme="majorHAnsi"/>
                <w:b/>
                <w:bCs/>
                <w:lang w:val="en-GB"/>
              </w:rPr>
            </w:pPr>
            <w:r>
              <w:rPr>
                <w:rFonts w:asciiTheme="majorHAnsi" w:hAnsiTheme="majorHAnsi" w:cstheme="majorHAnsi"/>
                <w:b/>
                <w:bCs/>
                <w:lang w:val="en-GB"/>
              </w:rPr>
              <w:t>Technical ressources</w:t>
            </w:r>
          </w:p>
        </w:tc>
        <w:tc>
          <w:tcPr>
            <w:tcW w:w="5351" w:type="dxa"/>
            <w:vAlign w:val="center"/>
          </w:tcPr>
          <w:p w:rsidR="00E96343" w:rsidRDefault="00190EF8">
            <w:pPr>
              <w:rPr>
                <w:rFonts w:asciiTheme="majorHAnsi" w:hAnsiTheme="majorHAnsi" w:cstheme="majorHAnsi"/>
                <w:lang w:val="en-GB"/>
              </w:rPr>
            </w:pPr>
            <w:r>
              <w:rPr>
                <w:rFonts w:asciiTheme="majorHAnsi" w:hAnsiTheme="majorHAnsi" w:cstheme="majorHAnsi"/>
                <w:lang w:val="en-GB"/>
              </w:rPr>
              <w:t>Specific softwares</w:t>
            </w:r>
          </w:p>
        </w:tc>
        <w:tc>
          <w:tcPr>
            <w:tcW w:w="741" w:type="dxa"/>
            <w:noWrap/>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3</w:t>
            </w:r>
          </w:p>
        </w:tc>
      </w:tr>
      <w:tr w:rsidR="00E96343">
        <w:trPr>
          <w:trHeight w:val="315"/>
        </w:trPr>
        <w:tc>
          <w:tcPr>
            <w:tcW w:w="2968" w:type="dxa"/>
            <w:vMerge/>
            <w:vAlign w:val="center"/>
          </w:tcPr>
          <w:p w:rsidR="00E96343" w:rsidRDefault="00E96343">
            <w:pPr>
              <w:jc w:val="center"/>
              <w:rPr>
                <w:rFonts w:asciiTheme="majorHAnsi" w:hAnsiTheme="majorHAnsi" w:cstheme="majorHAnsi"/>
                <w:b/>
                <w:bCs/>
                <w:lang w:val="en-GB"/>
              </w:rPr>
            </w:pPr>
          </w:p>
        </w:tc>
        <w:tc>
          <w:tcPr>
            <w:tcW w:w="5351" w:type="dxa"/>
            <w:vAlign w:val="center"/>
          </w:tcPr>
          <w:p w:rsidR="00E96343" w:rsidRDefault="00190EF8">
            <w:pPr>
              <w:rPr>
                <w:rFonts w:asciiTheme="majorHAnsi" w:hAnsiTheme="majorHAnsi" w:cstheme="majorHAnsi"/>
                <w:lang w:val="en-GB"/>
              </w:rPr>
            </w:pPr>
            <w:r>
              <w:rPr>
                <w:rFonts w:asciiTheme="majorHAnsi" w:hAnsiTheme="majorHAnsi" w:cstheme="majorHAnsi"/>
                <w:lang w:val="en-GB"/>
              </w:rPr>
              <w:t>Technical partnership or subcontractors identified for missing competences</w:t>
            </w:r>
          </w:p>
        </w:tc>
        <w:tc>
          <w:tcPr>
            <w:tcW w:w="741" w:type="dxa"/>
            <w:noWrap/>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5</w:t>
            </w:r>
          </w:p>
        </w:tc>
      </w:tr>
      <w:tr w:rsidR="00E96343">
        <w:trPr>
          <w:trHeight w:val="725"/>
        </w:trPr>
        <w:tc>
          <w:tcPr>
            <w:tcW w:w="2968" w:type="dxa"/>
            <w:noWrap/>
            <w:vAlign w:val="center"/>
          </w:tcPr>
          <w:p w:rsidR="00E96343" w:rsidRDefault="00190EF8">
            <w:pPr>
              <w:jc w:val="center"/>
              <w:rPr>
                <w:rFonts w:asciiTheme="majorHAnsi" w:hAnsiTheme="majorHAnsi" w:cstheme="majorHAnsi"/>
                <w:b/>
                <w:bCs/>
                <w:lang w:val="en-GB"/>
              </w:rPr>
            </w:pPr>
            <w:r>
              <w:rPr>
                <w:rFonts w:asciiTheme="majorHAnsi" w:hAnsiTheme="majorHAnsi" w:cstheme="majorHAnsi"/>
                <w:b/>
                <w:bCs/>
                <w:lang w:val="en-GB"/>
              </w:rPr>
              <w:t>Public Procurement Experience</w:t>
            </w:r>
          </w:p>
        </w:tc>
        <w:tc>
          <w:tcPr>
            <w:tcW w:w="5351" w:type="dxa"/>
            <w:noWrap/>
            <w:vAlign w:val="center"/>
          </w:tcPr>
          <w:p w:rsidR="00E96343" w:rsidRDefault="00190EF8">
            <w:pPr>
              <w:rPr>
                <w:rFonts w:asciiTheme="majorHAnsi" w:hAnsiTheme="majorHAnsi" w:cstheme="majorHAnsi"/>
                <w:lang w:val="en-GB"/>
              </w:rPr>
            </w:pPr>
            <w:r>
              <w:rPr>
                <w:rFonts w:asciiTheme="majorHAnsi" w:hAnsiTheme="majorHAnsi" w:cstheme="majorHAnsi"/>
                <w:lang w:val="en-GB"/>
              </w:rPr>
              <w:t>Knowledge of French/European public procurement</w:t>
            </w:r>
          </w:p>
        </w:tc>
        <w:tc>
          <w:tcPr>
            <w:tcW w:w="741" w:type="dxa"/>
            <w:noWrap/>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5</w:t>
            </w:r>
          </w:p>
        </w:tc>
      </w:tr>
      <w:tr w:rsidR="00E96343">
        <w:trPr>
          <w:trHeight w:val="125"/>
        </w:trPr>
        <w:tc>
          <w:tcPr>
            <w:tcW w:w="2968" w:type="dxa"/>
            <w:vMerge w:val="restart"/>
            <w:noWrap/>
            <w:vAlign w:val="center"/>
          </w:tcPr>
          <w:p w:rsidR="00E96343" w:rsidRDefault="00190EF8">
            <w:pPr>
              <w:jc w:val="center"/>
              <w:rPr>
                <w:rFonts w:asciiTheme="majorHAnsi" w:hAnsiTheme="majorHAnsi" w:cstheme="majorHAnsi"/>
                <w:b/>
                <w:bCs/>
                <w:lang w:val="en-GB"/>
              </w:rPr>
            </w:pPr>
            <w:r>
              <w:rPr>
                <w:rFonts w:asciiTheme="majorHAnsi" w:hAnsiTheme="majorHAnsi" w:cstheme="majorHAnsi"/>
                <w:b/>
                <w:bCs/>
                <w:lang w:val="en-GB"/>
              </w:rPr>
              <w:t>Financial Stability</w:t>
            </w:r>
          </w:p>
        </w:tc>
        <w:tc>
          <w:tcPr>
            <w:tcW w:w="5351" w:type="dxa"/>
            <w:noWrap/>
            <w:vAlign w:val="center"/>
          </w:tcPr>
          <w:p w:rsidR="00E96343" w:rsidRDefault="00190EF8">
            <w:pPr>
              <w:rPr>
                <w:rFonts w:asciiTheme="majorHAnsi" w:hAnsiTheme="majorHAnsi" w:cstheme="majorHAnsi"/>
                <w:lang w:val="en-GB"/>
              </w:rPr>
            </w:pPr>
            <w:r>
              <w:rPr>
                <w:rFonts w:asciiTheme="majorHAnsi" w:hAnsiTheme="majorHAnsi" w:cstheme="majorHAnsi"/>
                <w:lang w:val="en-GB"/>
              </w:rPr>
              <w:t>Turnover for the last 3 years</w:t>
            </w:r>
          </w:p>
        </w:tc>
        <w:tc>
          <w:tcPr>
            <w:tcW w:w="741" w:type="dxa"/>
            <w:noWrap/>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2.5</w:t>
            </w:r>
          </w:p>
        </w:tc>
      </w:tr>
      <w:tr w:rsidR="00E96343">
        <w:trPr>
          <w:trHeight w:val="132"/>
        </w:trPr>
        <w:tc>
          <w:tcPr>
            <w:tcW w:w="2968" w:type="dxa"/>
            <w:vMerge/>
          </w:tcPr>
          <w:p w:rsidR="00E96343" w:rsidRDefault="00E96343">
            <w:pPr>
              <w:rPr>
                <w:rFonts w:asciiTheme="majorHAnsi" w:hAnsiTheme="majorHAnsi" w:cstheme="majorHAnsi"/>
                <w:b/>
                <w:bCs/>
                <w:lang w:val="en-GB"/>
              </w:rPr>
            </w:pPr>
          </w:p>
        </w:tc>
        <w:tc>
          <w:tcPr>
            <w:tcW w:w="5351" w:type="dxa"/>
            <w:noWrap/>
            <w:vAlign w:val="center"/>
          </w:tcPr>
          <w:p w:rsidR="00E96343" w:rsidRDefault="00190EF8">
            <w:pPr>
              <w:rPr>
                <w:rFonts w:asciiTheme="majorHAnsi" w:hAnsiTheme="majorHAnsi" w:cstheme="majorHAnsi"/>
                <w:lang w:val="en-GB"/>
              </w:rPr>
            </w:pPr>
            <w:r>
              <w:rPr>
                <w:rFonts w:asciiTheme="majorHAnsi" w:hAnsiTheme="majorHAnsi" w:cstheme="majorHAnsi"/>
                <w:lang w:val="en-GB"/>
              </w:rPr>
              <w:t>Professional liability insurance</w:t>
            </w:r>
          </w:p>
        </w:tc>
        <w:tc>
          <w:tcPr>
            <w:tcW w:w="741" w:type="dxa"/>
            <w:vAlign w:val="center"/>
          </w:tcPr>
          <w:p w:rsidR="00E96343" w:rsidRDefault="00190EF8">
            <w:pPr>
              <w:jc w:val="center"/>
              <w:rPr>
                <w:rFonts w:asciiTheme="majorHAnsi" w:hAnsiTheme="majorHAnsi" w:cstheme="majorHAnsi"/>
                <w:lang w:val="en-GB"/>
              </w:rPr>
            </w:pPr>
            <w:r>
              <w:rPr>
                <w:rFonts w:asciiTheme="majorHAnsi" w:hAnsiTheme="majorHAnsi" w:cstheme="majorHAnsi"/>
                <w:lang w:val="en-GB"/>
              </w:rPr>
              <w:t>2.5</w:t>
            </w:r>
          </w:p>
        </w:tc>
      </w:tr>
    </w:tbl>
    <w:p w:rsidR="00E96343" w:rsidRDefault="00190EF8">
      <w:pPr>
        <w:rPr>
          <w:rFonts w:asciiTheme="majorHAnsi" w:hAnsiTheme="majorHAnsi" w:cstheme="majorHAnsi"/>
          <w:lang w:val="en-GB"/>
        </w:rPr>
      </w:pPr>
      <w:r>
        <w:rPr>
          <w:rFonts w:asciiTheme="majorHAnsi" w:hAnsiTheme="majorHAnsi" w:cstheme="majorHAnsi"/>
          <w:lang w:val="en-GB"/>
        </w:rPr>
        <w:t>Each sub-criterion will be assessed with a score from 0</w:t>
      </w:r>
      <w:r>
        <w:rPr>
          <w:rFonts w:asciiTheme="majorHAnsi" w:hAnsiTheme="majorHAnsi" w:cstheme="majorHAnsi"/>
          <w:lang w:val="en-GB"/>
        </w:rPr>
        <w:t xml:space="preserve"> to 5 (from insufficient to excellent). This note will be multiplied by the weight of the sub-criterion. All points will be then added to obtain a final score with a maximum of 500 points. </w:t>
      </w:r>
    </w:p>
    <w:p w:rsidR="00E96343" w:rsidRPr="00711438" w:rsidRDefault="00190EF8">
      <w:pPr>
        <w:rPr>
          <w:rFonts w:asciiTheme="majorHAnsi" w:hAnsiTheme="majorHAnsi" w:cstheme="majorHAnsi"/>
          <w:highlight w:val="white"/>
          <w:lang w:val="en-GB"/>
        </w:rPr>
      </w:pPr>
      <w:r>
        <w:rPr>
          <w:rFonts w:asciiTheme="majorHAnsi" w:hAnsiTheme="majorHAnsi" w:cstheme="majorHAnsi"/>
          <w:highlight w:val="white"/>
          <w:lang w:val="en-GB"/>
        </w:rPr>
        <w:t>Offers scoring under 3/5 on criterion highlighted in red will be d</w:t>
      </w:r>
      <w:r>
        <w:rPr>
          <w:rFonts w:asciiTheme="majorHAnsi" w:hAnsiTheme="majorHAnsi" w:cstheme="majorHAnsi"/>
          <w:highlight w:val="white"/>
          <w:lang w:val="en-GB"/>
        </w:rPr>
        <w:t>eemed non-compliant.</w:t>
      </w:r>
    </w:p>
    <w:p w:rsidR="00E96343" w:rsidRDefault="00190EF8">
      <w:pPr>
        <w:rPr>
          <w:rFonts w:asciiTheme="majorHAnsi" w:hAnsiTheme="majorHAnsi" w:cstheme="majorHAnsi"/>
          <w:lang w:val="en-GB"/>
        </w:rPr>
      </w:pPr>
      <w:bookmarkStart w:id="36" w:name="_Hlk199263438"/>
      <w:r>
        <w:rPr>
          <w:rFonts w:asciiTheme="majorHAnsi" w:hAnsiTheme="majorHAnsi" w:cstheme="majorHAnsi"/>
          <w:b/>
          <w:color w:val="000000"/>
          <w:u w:val="single"/>
          <w:lang w:val="en-GB"/>
        </w:rPr>
        <w:lastRenderedPageBreak/>
        <w:t>Number of bidders selected for the offer phase is THREE (3).</w:t>
      </w:r>
      <w:r>
        <w:rPr>
          <w:rFonts w:asciiTheme="majorHAnsi" w:hAnsiTheme="majorHAnsi" w:cstheme="majorHAnsi"/>
          <w:color w:val="000000"/>
          <w:lang w:val="en-GB"/>
        </w:rPr>
        <w:t xml:space="preserve"> Should there be too few bidders, the number may be reduced. A single bidder may be sufficient to commence offer phase. Bidders not selected will receive notification of the d</w:t>
      </w:r>
      <w:r>
        <w:rPr>
          <w:rFonts w:asciiTheme="majorHAnsi" w:hAnsiTheme="majorHAnsi" w:cstheme="majorHAnsi"/>
          <w:color w:val="000000"/>
          <w:lang w:val="en-GB"/>
        </w:rPr>
        <w:t>ecision.</w:t>
      </w:r>
    </w:p>
    <w:p w:rsidR="00E96343" w:rsidRDefault="00190EF8">
      <w:pPr>
        <w:rPr>
          <w:rFonts w:asciiTheme="majorHAnsi" w:hAnsiTheme="majorHAnsi" w:cstheme="majorHAnsi"/>
          <w:color w:val="000000"/>
          <w:lang w:val="en-GB"/>
        </w:rPr>
      </w:pPr>
      <w:r>
        <w:rPr>
          <w:rFonts w:asciiTheme="majorHAnsi" w:hAnsiTheme="majorHAnsi" w:cstheme="majorHAnsi"/>
          <w:color w:val="000000"/>
          <w:lang w:val="en-GB"/>
        </w:rPr>
        <w:t>In the event of a tie in scores, Ifremer will select the candidate with the highest score on the reference criterion.</w:t>
      </w:r>
      <w:bookmarkEnd w:id="36"/>
    </w:p>
    <w:p w:rsidR="00E96343" w:rsidRDefault="00190EF8">
      <w:pPr>
        <w:pStyle w:val="Titre1"/>
        <w:rPr>
          <w:rFonts w:cstheme="majorHAnsi"/>
          <w:lang w:val="en-GB"/>
        </w:rPr>
      </w:pPr>
      <w:bookmarkStart w:id="37" w:name="_Toc210376510"/>
      <w:r>
        <w:rPr>
          <w:rFonts w:cstheme="majorHAnsi"/>
          <w:lang w:val="en-GB"/>
        </w:rPr>
        <w:t>Bidder selection criteria</w:t>
      </w:r>
      <w:bookmarkEnd w:id="37"/>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 xml:space="preserve">Ifremer will award the contract to the most advantageous offer, based on the following weighted </w:t>
      </w:r>
      <w:r>
        <w:rPr>
          <w:rFonts w:asciiTheme="majorHAnsi" w:hAnsiTheme="majorHAnsi" w:cstheme="majorHAnsi"/>
          <w:lang w:val="en-GB"/>
        </w:rPr>
        <w:t>criteria :</w:t>
      </w:r>
    </w:p>
    <w:p w:rsidR="00E96343" w:rsidRDefault="00190EF8">
      <w:pPr>
        <w:pStyle w:val="Paragraphedeliste"/>
        <w:numPr>
          <w:ilvl w:val="0"/>
          <w:numId w:val="9"/>
        </w:numPr>
        <w:rPr>
          <w:rFonts w:asciiTheme="majorHAnsi" w:hAnsiTheme="majorHAnsi" w:cstheme="majorHAnsi"/>
          <w:lang w:val="en-GB"/>
        </w:rPr>
      </w:pPr>
      <w:r>
        <w:rPr>
          <w:rFonts w:asciiTheme="majorHAnsi" w:hAnsiTheme="majorHAnsi" w:cstheme="majorHAnsi"/>
          <w:lang w:val="en-GB"/>
        </w:rPr>
        <w:t>Cost: 45%;</w:t>
      </w:r>
    </w:p>
    <w:p w:rsidR="00E96343" w:rsidRDefault="00190EF8">
      <w:pPr>
        <w:pStyle w:val="Paragraphedeliste"/>
        <w:numPr>
          <w:ilvl w:val="0"/>
          <w:numId w:val="4"/>
        </w:numPr>
        <w:rPr>
          <w:rFonts w:asciiTheme="majorHAnsi" w:hAnsiTheme="majorHAnsi" w:cstheme="majorHAnsi"/>
          <w:lang w:val="en-GB"/>
        </w:rPr>
      </w:pPr>
      <w:r>
        <w:rPr>
          <w:rFonts w:asciiTheme="majorHAnsi" w:hAnsiTheme="majorHAnsi" w:cstheme="majorHAnsi"/>
          <w:lang w:val="en-GB"/>
        </w:rPr>
        <w:t>Technical compliance: 45%</w:t>
      </w:r>
    </w:p>
    <w:p w:rsidR="00E96343" w:rsidRDefault="00190EF8">
      <w:pPr>
        <w:pStyle w:val="Paragraphedeliste"/>
        <w:numPr>
          <w:ilvl w:val="0"/>
          <w:numId w:val="4"/>
        </w:numPr>
        <w:rPr>
          <w:rFonts w:asciiTheme="majorHAnsi" w:hAnsiTheme="majorHAnsi" w:cstheme="majorHAnsi"/>
          <w:lang w:val="en-GB"/>
        </w:rPr>
      </w:pPr>
      <w:r>
        <w:rPr>
          <w:rFonts w:asciiTheme="majorHAnsi" w:hAnsiTheme="majorHAnsi" w:cstheme="majorHAnsi"/>
          <w:lang w:val="en-GB"/>
        </w:rPr>
        <w:t>Environmental criteria : 10 %</w:t>
      </w:r>
    </w:p>
    <w:p w:rsidR="00E96343" w:rsidRDefault="00190EF8">
      <w:pPr>
        <w:rPr>
          <w:rFonts w:asciiTheme="majorHAnsi" w:hAnsiTheme="majorHAnsi" w:cstheme="majorHAnsi"/>
          <w:lang w:val="en-GB"/>
        </w:rPr>
      </w:pPr>
      <w:r>
        <w:rPr>
          <w:rFonts w:asciiTheme="majorHAnsi" w:hAnsiTheme="majorHAnsi" w:cstheme="majorHAnsi"/>
          <w:lang w:val="en-GB"/>
        </w:rPr>
        <w:t xml:space="preserve">Full assessment criteria are detailed in the consultation file, which will be made available post application phase. </w:t>
      </w:r>
    </w:p>
    <w:p w:rsidR="00E96343" w:rsidRDefault="00190EF8">
      <w:pPr>
        <w:rPr>
          <w:rFonts w:asciiTheme="majorHAnsi" w:hAnsiTheme="majorHAnsi" w:cstheme="majorHAnsi"/>
          <w:lang w:val="en-GB"/>
        </w:rPr>
      </w:pPr>
      <w:r>
        <w:rPr>
          <w:rFonts w:asciiTheme="majorHAnsi" w:hAnsiTheme="majorHAnsi" w:cstheme="majorHAnsi"/>
          <w:lang w:val="en-GB"/>
        </w:rPr>
        <w:t>At the end of the selection procedure, one (1) bid will be s</w:t>
      </w:r>
      <w:r>
        <w:rPr>
          <w:rFonts w:asciiTheme="majorHAnsi" w:hAnsiTheme="majorHAnsi" w:cstheme="majorHAnsi"/>
          <w:lang w:val="en-GB"/>
        </w:rPr>
        <w:t>elected.</w:t>
      </w:r>
    </w:p>
    <w:p w:rsidR="00E96343" w:rsidRDefault="00190EF8">
      <w:pPr>
        <w:pStyle w:val="Titre1"/>
        <w:rPr>
          <w:rFonts w:cstheme="majorHAnsi"/>
          <w:lang w:val="en-GB"/>
        </w:rPr>
      </w:pPr>
      <w:bookmarkStart w:id="38" w:name="_Toc210376511"/>
      <w:r>
        <w:rPr>
          <w:rFonts w:cstheme="majorHAnsi"/>
          <w:lang w:val="en-GB"/>
        </w:rPr>
        <w:t>Confidentiality</w:t>
      </w:r>
      <w:bookmarkEnd w:id="38"/>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Applicants shall not use Ifremer information for any other purpose than their bids. They shall not disclose Ifremer information and documents and shall not communicate with any other person/firm than Ifremer without Ifremer’s prio</w:t>
      </w:r>
      <w:r>
        <w:rPr>
          <w:rFonts w:asciiTheme="majorHAnsi" w:hAnsiTheme="majorHAnsi" w:cstheme="majorHAnsi"/>
          <w:lang w:val="en-GB"/>
        </w:rPr>
        <w:t xml:space="preserve">r consent thereto. </w:t>
      </w:r>
    </w:p>
    <w:p w:rsidR="00E96343" w:rsidRDefault="00E96343">
      <w:pPr>
        <w:pBdr>
          <w:top w:val="none" w:sz="4" w:space="0" w:color="000000"/>
          <w:left w:val="none" w:sz="4" w:space="0" w:color="000000"/>
          <w:bottom w:val="none" w:sz="4" w:space="0" w:color="000000"/>
          <w:right w:val="none" w:sz="4" w:space="0" w:color="000000"/>
        </w:pBdr>
        <w:spacing w:before="0" w:after="160" w:line="255" w:lineRule="atLeast"/>
        <w:rPr>
          <w:rFonts w:asciiTheme="majorHAnsi" w:hAnsiTheme="majorHAnsi" w:cstheme="majorHAnsi"/>
          <w:color w:val="000000"/>
          <w:lang w:val="en-GB"/>
        </w:rPr>
      </w:pPr>
    </w:p>
    <w:p w:rsidR="00E96343" w:rsidRDefault="00190EF8">
      <w:pPr>
        <w:pStyle w:val="Titre1"/>
        <w:rPr>
          <w:rFonts w:cstheme="majorHAnsi"/>
          <w:lang w:val="en-GB"/>
        </w:rPr>
      </w:pPr>
      <w:bookmarkStart w:id="39" w:name="_Toc210376512"/>
      <w:r>
        <w:rPr>
          <w:rFonts w:cstheme="majorHAnsi"/>
          <w:lang w:val="en-GB"/>
        </w:rPr>
        <w:t>Further details</w:t>
      </w:r>
      <w:bookmarkEnd w:id="39"/>
      <w:r>
        <w:rPr>
          <w:rFonts w:cstheme="majorHAnsi"/>
          <w:lang w:val="en-GB"/>
        </w:rPr>
        <w:t xml:space="preserve"> </w:t>
      </w:r>
    </w:p>
    <w:p w:rsidR="00E96343" w:rsidRDefault="00190EF8">
      <w:pPr>
        <w:rPr>
          <w:rFonts w:asciiTheme="majorHAnsi" w:hAnsiTheme="majorHAnsi" w:cstheme="majorHAnsi"/>
          <w:lang w:val="en-GB"/>
        </w:rPr>
      </w:pPr>
      <w:r>
        <w:rPr>
          <w:rFonts w:asciiTheme="majorHAnsi" w:hAnsiTheme="majorHAnsi" w:cstheme="majorHAnsi"/>
          <w:lang w:val="en-GB"/>
        </w:rPr>
        <w:t>Only trivial questions will be answered by telephone. The online platform must be used for more important questions regarding technical or administrative matters.</w:t>
      </w:r>
    </w:p>
    <w:p w:rsidR="00E96343" w:rsidRDefault="00190EF8">
      <w:pPr>
        <w:rPr>
          <w:rFonts w:asciiTheme="majorHAnsi" w:hAnsiTheme="majorHAnsi" w:cstheme="majorHAnsi"/>
          <w:lang w:val="en-GB"/>
        </w:rPr>
      </w:pPr>
      <w:r>
        <w:rPr>
          <w:rFonts w:asciiTheme="majorHAnsi" w:hAnsiTheme="majorHAnsi" w:cstheme="majorHAnsi"/>
          <w:lang w:val="en-GB"/>
        </w:rPr>
        <w:t>Contact for further details:</w:t>
      </w:r>
    </w:p>
    <w:p w:rsidR="00E96343" w:rsidRDefault="00190EF8">
      <w:pPr>
        <w:pStyle w:val="LienPlace"/>
        <w:rPr>
          <w:rFonts w:asciiTheme="majorHAnsi" w:hAnsiTheme="majorHAnsi" w:cstheme="majorHAnsi"/>
          <w:lang w:val="en-GB"/>
        </w:rPr>
      </w:pPr>
      <w:r>
        <w:rPr>
          <w:rFonts w:asciiTheme="majorHAnsi" w:hAnsiTheme="majorHAnsi" w:cstheme="majorHAnsi"/>
          <w:lang w:val="en-GB"/>
        </w:rPr>
        <w:t xml:space="preserve">https://www.marches-publics.gouv.fr/  </w:t>
      </w:r>
    </w:p>
    <w:p w:rsidR="00E96343" w:rsidRDefault="00190EF8">
      <w:pPr>
        <w:rPr>
          <w:rFonts w:asciiTheme="majorHAnsi" w:hAnsiTheme="majorHAnsi" w:cstheme="majorHAnsi"/>
          <w:lang w:val="en-GB"/>
        </w:rPr>
      </w:pPr>
      <w:r>
        <w:rPr>
          <w:rFonts w:asciiTheme="majorHAnsi" w:hAnsiTheme="majorHAnsi" w:cstheme="majorHAnsi"/>
          <w:lang w:val="en-GB"/>
        </w:rPr>
        <w:t>Candidates are required to submit their requests no later than ten (10) calendar days prior to the deadline for the submission of tenders. A response will be provided to all companies that have downloaded the consulta</w:t>
      </w:r>
      <w:r>
        <w:rPr>
          <w:rFonts w:asciiTheme="majorHAnsi" w:hAnsiTheme="majorHAnsi" w:cstheme="majorHAnsi"/>
          <w:lang w:val="en-GB"/>
        </w:rPr>
        <w:t>tion file no later than five (5) calendar days before the aforementioned deadline.</w:t>
      </w:r>
    </w:p>
    <w:p w:rsidR="00E96343" w:rsidRDefault="00190EF8">
      <w:pPr>
        <w:rPr>
          <w:rFonts w:asciiTheme="majorHAnsi" w:hAnsiTheme="majorHAnsi" w:cstheme="majorHAnsi"/>
          <w:lang w:val="en-GB"/>
        </w:rPr>
      </w:pPr>
      <w:r>
        <w:rPr>
          <w:rFonts w:asciiTheme="majorHAnsi" w:hAnsiTheme="majorHAnsi" w:cstheme="majorHAnsi"/>
          <w:lang w:val="en-GB"/>
        </w:rPr>
        <w:t>In the event of any difficulties accessing the platform, candidates may contact Ifremer’s Procurement Unit at the following address: cellule.marche@ifremer.fr</w:t>
      </w:r>
    </w:p>
    <w:p w:rsidR="00E96343" w:rsidRDefault="00190EF8">
      <w:pPr>
        <w:pStyle w:val="Titre1"/>
        <w:rPr>
          <w:rFonts w:cstheme="majorHAnsi"/>
          <w:lang w:val="en-GB"/>
        </w:rPr>
      </w:pPr>
      <w:bookmarkStart w:id="40" w:name="_Toc210376513"/>
      <w:r>
        <w:rPr>
          <w:rFonts w:cstheme="majorHAnsi"/>
          <w:lang w:val="en-GB"/>
        </w:rPr>
        <w:t>Provisional ti</w:t>
      </w:r>
      <w:r>
        <w:rPr>
          <w:rFonts w:cstheme="majorHAnsi"/>
          <w:lang w:val="en-GB"/>
        </w:rPr>
        <w:t>meline</w:t>
      </w:r>
      <w:bookmarkEnd w:id="40"/>
      <w:r>
        <w:rPr>
          <w:rFonts w:cstheme="majorHAnsi"/>
          <w:lang w:val="en-GB"/>
        </w:rPr>
        <w:t xml:space="preserve"> </w:t>
      </w:r>
    </w:p>
    <w:tbl>
      <w:tblPr>
        <w:tblStyle w:val="Grilledutableau"/>
        <w:tblW w:w="9060" w:type="dxa"/>
        <w:tblLook w:val="04A0" w:firstRow="1" w:lastRow="0" w:firstColumn="1" w:lastColumn="0" w:noHBand="0" w:noVBand="1"/>
      </w:tblPr>
      <w:tblGrid>
        <w:gridCol w:w="6091"/>
        <w:gridCol w:w="2969"/>
      </w:tblGrid>
      <w:tr w:rsidR="00E96343">
        <w:tc>
          <w:tcPr>
            <w:tcW w:w="6091" w:type="dxa"/>
            <w:vAlign w:val="center"/>
          </w:tcPr>
          <w:p w:rsidR="00E96343" w:rsidRPr="00711438" w:rsidRDefault="00190EF8">
            <w:pPr>
              <w:rPr>
                <w:rFonts w:asciiTheme="majorHAnsi" w:hAnsiTheme="majorHAnsi" w:cstheme="majorHAnsi"/>
                <w:highlight w:val="white"/>
                <w:lang w:val="en-GB"/>
              </w:rPr>
            </w:pPr>
            <w:r>
              <w:rPr>
                <w:rFonts w:asciiTheme="majorHAnsi" w:hAnsiTheme="majorHAnsi" w:cstheme="majorHAnsi"/>
                <w:highlight w:val="white"/>
                <w:lang w:val="en-GB"/>
              </w:rPr>
              <w:t>Publish notice of public call for bids</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03/10/2025</w:t>
            </w:r>
          </w:p>
        </w:tc>
      </w:tr>
      <w:tr w:rsidR="00E96343">
        <w:tc>
          <w:tcPr>
            <w:tcW w:w="6091" w:type="dxa"/>
            <w:vAlign w:val="center"/>
          </w:tcPr>
          <w:p w:rsidR="00E96343" w:rsidRDefault="00190EF8">
            <w:pPr>
              <w:rPr>
                <w:rFonts w:asciiTheme="majorHAnsi" w:hAnsiTheme="majorHAnsi" w:cstheme="majorHAnsi"/>
                <w:highlight w:val="white"/>
              </w:rPr>
            </w:pPr>
            <w:r>
              <w:rPr>
                <w:rFonts w:asciiTheme="majorHAnsi" w:hAnsiTheme="majorHAnsi" w:cstheme="majorHAnsi"/>
                <w:highlight w:val="white"/>
                <w:lang w:val="en-GB"/>
              </w:rPr>
              <w:t>Submit applications</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04/11/2025</w:t>
            </w:r>
          </w:p>
        </w:tc>
      </w:tr>
      <w:tr w:rsidR="00E96343">
        <w:tc>
          <w:tcPr>
            <w:tcW w:w="6091" w:type="dxa"/>
            <w:vAlign w:val="center"/>
          </w:tcPr>
          <w:p w:rsidR="00E96343" w:rsidRDefault="00190EF8">
            <w:pPr>
              <w:rPr>
                <w:rFonts w:asciiTheme="majorHAnsi" w:hAnsiTheme="majorHAnsi" w:cstheme="majorHAnsi"/>
                <w:highlight w:val="white"/>
              </w:rPr>
            </w:pPr>
            <w:r>
              <w:rPr>
                <w:rFonts w:asciiTheme="majorHAnsi" w:hAnsiTheme="majorHAnsi" w:cstheme="majorHAnsi"/>
                <w:highlight w:val="white"/>
                <w:lang w:val="en-GB"/>
              </w:rPr>
              <w:t>Select applicants</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November 2025</w:t>
            </w:r>
          </w:p>
        </w:tc>
      </w:tr>
      <w:tr w:rsidR="00E96343">
        <w:tc>
          <w:tcPr>
            <w:tcW w:w="6091" w:type="dxa"/>
            <w:vAlign w:val="center"/>
          </w:tcPr>
          <w:p w:rsidR="00E96343" w:rsidRPr="00711438" w:rsidRDefault="00190EF8">
            <w:pPr>
              <w:rPr>
                <w:rFonts w:asciiTheme="majorHAnsi" w:hAnsiTheme="majorHAnsi" w:cstheme="majorHAnsi"/>
                <w:highlight w:val="white"/>
                <w:lang w:val="en-GB"/>
              </w:rPr>
            </w:pPr>
            <w:r>
              <w:rPr>
                <w:rFonts w:asciiTheme="majorHAnsi" w:hAnsiTheme="majorHAnsi" w:cstheme="majorHAnsi"/>
                <w:highlight w:val="white"/>
                <w:lang w:val="en-GB"/>
              </w:rPr>
              <w:lastRenderedPageBreak/>
              <w:t xml:space="preserve">Send selected applicants invitations to participate in the bidding phase </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November 2025</w:t>
            </w:r>
          </w:p>
        </w:tc>
      </w:tr>
      <w:tr w:rsidR="00E96343">
        <w:tc>
          <w:tcPr>
            <w:tcW w:w="6091" w:type="dxa"/>
            <w:vAlign w:val="center"/>
          </w:tcPr>
          <w:p w:rsidR="00E96343" w:rsidRPr="00711438" w:rsidRDefault="00190EF8">
            <w:pPr>
              <w:rPr>
                <w:rFonts w:asciiTheme="majorHAnsi" w:hAnsiTheme="majorHAnsi" w:cstheme="majorHAnsi"/>
                <w:highlight w:val="white"/>
                <w:lang w:val="en-GB"/>
              </w:rPr>
            </w:pPr>
            <w:r>
              <w:rPr>
                <w:rFonts w:asciiTheme="majorHAnsi" w:hAnsiTheme="majorHAnsi" w:cstheme="majorHAnsi"/>
                <w:highlight w:val="white"/>
                <w:lang w:val="en-GB"/>
              </w:rPr>
              <w:t>Send of DCE including technical specificati</w:t>
            </w:r>
            <w:r>
              <w:rPr>
                <w:rFonts w:asciiTheme="majorHAnsi" w:hAnsiTheme="majorHAnsi" w:cstheme="majorHAnsi"/>
                <w:highlight w:val="white"/>
                <w:lang w:val="en-GB"/>
              </w:rPr>
              <w:t>ons.</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November 2025</w:t>
            </w:r>
          </w:p>
        </w:tc>
      </w:tr>
      <w:tr w:rsidR="00E96343">
        <w:trPr>
          <w:trHeight w:val="338"/>
        </w:trPr>
        <w:tc>
          <w:tcPr>
            <w:tcW w:w="6091" w:type="dxa"/>
            <w:vAlign w:val="center"/>
          </w:tcPr>
          <w:p w:rsidR="00E96343" w:rsidRDefault="00190EF8">
            <w:pPr>
              <w:rPr>
                <w:rFonts w:asciiTheme="majorHAnsi" w:hAnsiTheme="majorHAnsi" w:cstheme="majorHAnsi"/>
                <w:highlight w:val="white"/>
              </w:rPr>
            </w:pPr>
            <w:r>
              <w:rPr>
                <w:rFonts w:asciiTheme="majorHAnsi" w:hAnsiTheme="majorHAnsi" w:cstheme="majorHAnsi"/>
                <w:highlight w:val="white"/>
                <w:lang w:val="en-GB"/>
              </w:rPr>
              <w:t>Initial offer receipt deadline</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December 2025</w:t>
            </w:r>
          </w:p>
        </w:tc>
      </w:tr>
      <w:tr w:rsidR="00E96343">
        <w:tc>
          <w:tcPr>
            <w:tcW w:w="6091" w:type="dxa"/>
            <w:vAlign w:val="center"/>
          </w:tcPr>
          <w:p w:rsidR="00E96343" w:rsidRDefault="00190EF8">
            <w:pPr>
              <w:rPr>
                <w:rFonts w:asciiTheme="majorHAnsi" w:hAnsiTheme="majorHAnsi" w:cstheme="majorHAnsi"/>
                <w:highlight w:val="white"/>
              </w:rPr>
            </w:pPr>
            <w:r>
              <w:rPr>
                <w:rFonts w:asciiTheme="majorHAnsi" w:hAnsiTheme="majorHAnsi" w:cstheme="majorHAnsi"/>
                <w:highlight w:val="white"/>
                <w:lang w:val="en-GB"/>
              </w:rPr>
              <w:t>Negotiations</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January 2026</w:t>
            </w:r>
          </w:p>
        </w:tc>
      </w:tr>
      <w:tr w:rsidR="00E96343">
        <w:tc>
          <w:tcPr>
            <w:tcW w:w="6091" w:type="dxa"/>
            <w:vAlign w:val="center"/>
          </w:tcPr>
          <w:p w:rsidR="00E96343" w:rsidRDefault="00190EF8">
            <w:pPr>
              <w:rPr>
                <w:rFonts w:asciiTheme="majorHAnsi" w:hAnsiTheme="majorHAnsi" w:cstheme="majorHAnsi"/>
                <w:highlight w:val="white"/>
              </w:rPr>
            </w:pPr>
            <w:r>
              <w:rPr>
                <w:rFonts w:asciiTheme="majorHAnsi" w:hAnsiTheme="majorHAnsi" w:cstheme="majorHAnsi"/>
                <w:highlight w:val="white"/>
                <w:lang w:val="en-GB"/>
              </w:rPr>
              <w:t>Submit final offer</w:t>
            </w:r>
          </w:p>
        </w:tc>
        <w:tc>
          <w:tcPr>
            <w:tcW w:w="2969" w:type="dxa"/>
            <w:vAlign w:val="center"/>
          </w:tcPr>
          <w:p w:rsidR="00E96343" w:rsidRDefault="00190EF8">
            <w:pPr>
              <w:jc w:val="center"/>
              <w:rPr>
                <w:rFonts w:asciiTheme="majorHAnsi" w:hAnsiTheme="majorHAnsi" w:cstheme="majorHAnsi"/>
                <w:highlight w:val="white"/>
              </w:rPr>
            </w:pPr>
            <w:r>
              <w:rPr>
                <w:rFonts w:asciiTheme="majorHAnsi" w:hAnsiTheme="majorHAnsi" w:cstheme="majorHAnsi"/>
                <w:highlight w:val="white"/>
                <w:lang w:val="en-GB"/>
              </w:rPr>
              <w:t>January</w:t>
            </w:r>
            <w:r w:rsidR="00711438">
              <w:rPr>
                <w:rFonts w:asciiTheme="majorHAnsi" w:hAnsiTheme="majorHAnsi" w:cstheme="majorHAnsi"/>
                <w:highlight w:val="white"/>
                <w:lang w:val="en-GB"/>
              </w:rPr>
              <w:t>-February</w:t>
            </w:r>
            <w:r>
              <w:rPr>
                <w:rFonts w:asciiTheme="majorHAnsi" w:hAnsiTheme="majorHAnsi" w:cstheme="majorHAnsi"/>
                <w:highlight w:val="white"/>
                <w:lang w:val="en-GB"/>
              </w:rPr>
              <w:t xml:space="preserve"> </w:t>
            </w:r>
            <w:r>
              <w:rPr>
                <w:rFonts w:asciiTheme="majorHAnsi" w:hAnsiTheme="majorHAnsi" w:cstheme="majorHAnsi"/>
                <w:highlight w:val="white"/>
                <w:lang w:val="en-GB"/>
              </w:rPr>
              <w:t>2026</w:t>
            </w:r>
          </w:p>
        </w:tc>
      </w:tr>
      <w:tr w:rsidR="00E96343">
        <w:tc>
          <w:tcPr>
            <w:tcW w:w="6091" w:type="dxa"/>
            <w:vAlign w:val="center"/>
          </w:tcPr>
          <w:p w:rsidR="00E96343" w:rsidRDefault="00190EF8">
            <w:pPr>
              <w:rPr>
                <w:rFonts w:asciiTheme="majorHAnsi" w:hAnsiTheme="majorHAnsi" w:cstheme="majorHAnsi"/>
                <w:b/>
                <w:highlight w:val="white"/>
              </w:rPr>
            </w:pPr>
            <w:r>
              <w:rPr>
                <w:rFonts w:asciiTheme="majorHAnsi" w:hAnsiTheme="majorHAnsi" w:cstheme="majorHAnsi"/>
                <w:b/>
                <w:highlight w:val="white"/>
                <w:lang w:val="en-GB"/>
              </w:rPr>
              <w:t>Award contract</w:t>
            </w:r>
          </w:p>
        </w:tc>
        <w:tc>
          <w:tcPr>
            <w:tcW w:w="2969" w:type="dxa"/>
            <w:vAlign w:val="center"/>
          </w:tcPr>
          <w:p w:rsidR="00E96343" w:rsidRDefault="00190EF8">
            <w:pPr>
              <w:jc w:val="center"/>
              <w:rPr>
                <w:rFonts w:asciiTheme="majorHAnsi" w:hAnsiTheme="majorHAnsi" w:cstheme="majorHAnsi"/>
                <w:b/>
                <w:highlight w:val="white"/>
              </w:rPr>
            </w:pPr>
            <w:r>
              <w:rPr>
                <w:rFonts w:asciiTheme="majorHAnsi" w:hAnsiTheme="majorHAnsi" w:cstheme="majorHAnsi"/>
                <w:highlight w:val="white"/>
                <w:lang w:val="en-GB"/>
              </w:rPr>
              <w:t>February</w:t>
            </w:r>
            <w:r>
              <w:rPr>
                <w:rFonts w:asciiTheme="majorHAnsi" w:hAnsiTheme="majorHAnsi" w:cstheme="majorHAnsi"/>
                <w:highlight w:val="white"/>
                <w:lang w:val="en-GB"/>
              </w:rPr>
              <w:t xml:space="preserve"> 2026</w:t>
            </w:r>
          </w:p>
        </w:tc>
      </w:tr>
    </w:tbl>
    <w:p w:rsidR="00E96343" w:rsidRDefault="00E96343">
      <w:pPr>
        <w:rPr>
          <w:rFonts w:asciiTheme="majorHAnsi" w:hAnsiTheme="majorHAnsi" w:cstheme="majorHAnsi"/>
          <w:lang w:val="en-GB"/>
        </w:rPr>
      </w:pPr>
    </w:p>
    <w:p w:rsidR="00E96343" w:rsidRDefault="00190EF8">
      <w:pPr>
        <w:rPr>
          <w:rFonts w:asciiTheme="majorHAnsi" w:hAnsiTheme="majorHAnsi" w:cstheme="majorHAnsi"/>
          <w:lang w:val="en-GB"/>
        </w:rPr>
      </w:pPr>
      <w:r>
        <w:rPr>
          <w:rFonts w:asciiTheme="majorHAnsi" w:hAnsiTheme="majorHAnsi" w:cstheme="majorHAnsi"/>
          <w:lang w:val="en-GB"/>
        </w:rPr>
        <w:t xml:space="preserve">This schedule is not final and </w:t>
      </w:r>
      <w:r w:rsidR="00711438">
        <w:rPr>
          <w:rFonts w:asciiTheme="majorHAnsi" w:hAnsiTheme="majorHAnsi" w:cstheme="majorHAnsi"/>
          <w:lang w:val="en-GB"/>
        </w:rPr>
        <w:t>may</w:t>
      </w:r>
      <w:bookmarkStart w:id="41" w:name="_GoBack"/>
      <w:bookmarkEnd w:id="41"/>
      <w:r>
        <w:rPr>
          <w:rFonts w:asciiTheme="majorHAnsi" w:hAnsiTheme="majorHAnsi" w:cstheme="majorHAnsi"/>
          <w:lang w:val="en-GB"/>
        </w:rPr>
        <w:t xml:space="preserve"> be subject to change.</w:t>
      </w:r>
    </w:p>
    <w:sectPr w:rsidR="00E96343">
      <w:pgSz w:w="11906" w:h="16838"/>
      <w:pgMar w:top="226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EF8" w:rsidRDefault="00190EF8">
      <w:pPr>
        <w:spacing w:after="0" w:line="240" w:lineRule="auto"/>
      </w:pPr>
      <w:r>
        <w:separator/>
      </w:r>
    </w:p>
  </w:endnote>
  <w:endnote w:type="continuationSeparator" w:id="0">
    <w:p w:rsidR="00190EF8" w:rsidRDefault="00190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entury Gothic">
    <w:panose1 w:val="020B0502020202020204"/>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EF8" w:rsidRDefault="00190EF8">
      <w:pPr>
        <w:spacing w:after="0" w:line="240" w:lineRule="auto"/>
      </w:pPr>
      <w:r>
        <w:separator/>
      </w:r>
    </w:p>
  </w:footnote>
  <w:footnote w:type="continuationSeparator" w:id="0">
    <w:p w:rsidR="00190EF8" w:rsidRDefault="00190E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22CEE"/>
    <w:multiLevelType w:val="multilevel"/>
    <w:tmpl w:val="A74A738E"/>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7D4510"/>
    <w:multiLevelType w:val="multilevel"/>
    <w:tmpl w:val="7EB675AE"/>
    <w:lvl w:ilvl="0">
      <w:start w:val="12"/>
      <w:numFmt w:val="bullet"/>
      <w:pStyle w:val="Liste"/>
      <w:lvlText w:val="-"/>
      <w:lvlJc w:val="left"/>
      <w:pPr>
        <w:ind w:left="720" w:hanging="360"/>
      </w:pPr>
      <w:rPr>
        <w:rFonts w:ascii="Calibri" w:eastAsiaTheme="minorHAnsi" w:hAnsi="Calibri" w:cstheme="minorBidi" w:hint="default"/>
      </w:rPr>
    </w:lvl>
    <w:lvl w:ilvl="1">
      <w:start w:val="1"/>
      <w:numFmt w:val="bullet"/>
      <w:pStyle w:val="Liste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B37595"/>
    <w:multiLevelType w:val="multilevel"/>
    <w:tmpl w:val="161A5EBA"/>
    <w:lvl w:ilvl="0">
      <w:start w:val="1"/>
      <w:numFmt w:val="bullet"/>
      <w:pStyle w:val="Puceniveau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B22281"/>
    <w:multiLevelType w:val="multilevel"/>
    <w:tmpl w:val="5C5A706E"/>
    <w:lvl w:ilvl="0">
      <w:start w:val="1"/>
      <w:numFmt w:val="bullet"/>
      <w:pStyle w:val="Puceniveau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637FBC"/>
    <w:multiLevelType w:val="multilevel"/>
    <w:tmpl w:val="AA061384"/>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3DA648A5"/>
    <w:multiLevelType w:val="multilevel"/>
    <w:tmpl w:val="337EB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015CD7"/>
    <w:multiLevelType w:val="multilevel"/>
    <w:tmpl w:val="8ACA033A"/>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D000F1"/>
    <w:multiLevelType w:val="multilevel"/>
    <w:tmpl w:val="016E4AB6"/>
    <w:lvl w:ilvl="0">
      <w:numFmt w:val="bullet"/>
      <w:lvlText w:val="-"/>
      <w:lvlJc w:val="left"/>
      <w:pPr>
        <w:tabs>
          <w:tab w:val="num" w:pos="814"/>
        </w:tabs>
        <w:ind w:left="814" w:hanging="360"/>
      </w:pPr>
      <w:rPr>
        <w:rFonts w:ascii="Times New Roman" w:eastAsia="Times New Roman" w:hAnsi="Times New Roman" w:cs="Times New Roman" w:hint="default"/>
      </w:rPr>
    </w:lvl>
    <w:lvl w:ilvl="1">
      <w:start w:val="1"/>
      <w:numFmt w:val="bullet"/>
      <w:lvlText w:val="o"/>
      <w:lvlJc w:val="left"/>
      <w:pPr>
        <w:tabs>
          <w:tab w:val="num" w:pos="1534"/>
        </w:tabs>
        <w:ind w:left="1534" w:hanging="360"/>
      </w:pPr>
      <w:rPr>
        <w:rFonts w:ascii="Courier New" w:hAnsi="Courier New" w:hint="default"/>
      </w:rPr>
    </w:lvl>
    <w:lvl w:ilvl="2">
      <w:start w:val="1"/>
      <w:numFmt w:val="bullet"/>
      <w:lvlText w:val=""/>
      <w:lvlJc w:val="left"/>
      <w:pPr>
        <w:tabs>
          <w:tab w:val="num" w:pos="2254"/>
        </w:tabs>
        <w:ind w:left="2254" w:hanging="360"/>
      </w:pPr>
      <w:rPr>
        <w:rFonts w:ascii="Wingdings" w:hAnsi="Wingdings" w:hint="default"/>
      </w:rPr>
    </w:lvl>
    <w:lvl w:ilvl="3">
      <w:start w:val="1"/>
      <w:numFmt w:val="bullet"/>
      <w:lvlText w:val=""/>
      <w:lvlJc w:val="left"/>
      <w:pPr>
        <w:tabs>
          <w:tab w:val="num" w:pos="2974"/>
        </w:tabs>
        <w:ind w:left="2974" w:hanging="360"/>
      </w:pPr>
      <w:rPr>
        <w:rFonts w:ascii="Symbol" w:hAnsi="Symbol" w:hint="default"/>
      </w:rPr>
    </w:lvl>
    <w:lvl w:ilvl="4">
      <w:start w:val="1"/>
      <w:numFmt w:val="bullet"/>
      <w:lvlText w:val="o"/>
      <w:lvlJc w:val="left"/>
      <w:pPr>
        <w:tabs>
          <w:tab w:val="num" w:pos="3694"/>
        </w:tabs>
        <w:ind w:left="3694" w:hanging="360"/>
      </w:pPr>
      <w:rPr>
        <w:rFonts w:ascii="Courier New" w:hAnsi="Courier New" w:hint="default"/>
      </w:rPr>
    </w:lvl>
    <w:lvl w:ilvl="5">
      <w:start w:val="1"/>
      <w:numFmt w:val="bullet"/>
      <w:lvlText w:val=""/>
      <w:lvlJc w:val="left"/>
      <w:pPr>
        <w:tabs>
          <w:tab w:val="num" w:pos="4414"/>
        </w:tabs>
        <w:ind w:left="4414" w:hanging="360"/>
      </w:pPr>
      <w:rPr>
        <w:rFonts w:ascii="Wingdings" w:hAnsi="Wingdings" w:hint="default"/>
      </w:rPr>
    </w:lvl>
    <w:lvl w:ilvl="6">
      <w:start w:val="1"/>
      <w:numFmt w:val="bullet"/>
      <w:lvlText w:val=""/>
      <w:lvlJc w:val="left"/>
      <w:pPr>
        <w:tabs>
          <w:tab w:val="num" w:pos="5134"/>
        </w:tabs>
        <w:ind w:left="5134" w:hanging="360"/>
      </w:pPr>
      <w:rPr>
        <w:rFonts w:ascii="Symbol" w:hAnsi="Symbol" w:hint="default"/>
      </w:rPr>
    </w:lvl>
    <w:lvl w:ilvl="7">
      <w:start w:val="1"/>
      <w:numFmt w:val="bullet"/>
      <w:lvlText w:val="o"/>
      <w:lvlJc w:val="left"/>
      <w:pPr>
        <w:tabs>
          <w:tab w:val="num" w:pos="5854"/>
        </w:tabs>
        <w:ind w:left="5854" w:hanging="360"/>
      </w:pPr>
      <w:rPr>
        <w:rFonts w:ascii="Courier New" w:hAnsi="Courier New" w:hint="default"/>
      </w:rPr>
    </w:lvl>
    <w:lvl w:ilvl="8">
      <w:start w:val="1"/>
      <w:numFmt w:val="bullet"/>
      <w:lvlText w:val=""/>
      <w:lvlJc w:val="left"/>
      <w:pPr>
        <w:tabs>
          <w:tab w:val="num" w:pos="6574"/>
        </w:tabs>
        <w:ind w:left="6574" w:hanging="360"/>
      </w:pPr>
      <w:rPr>
        <w:rFonts w:ascii="Wingdings" w:hAnsi="Wingdings" w:hint="default"/>
      </w:rPr>
    </w:lvl>
  </w:abstractNum>
  <w:abstractNum w:abstractNumId="8" w15:restartNumberingAfterBreak="0">
    <w:nsid w:val="513D60EA"/>
    <w:multiLevelType w:val="multilevel"/>
    <w:tmpl w:val="86F292D2"/>
    <w:lvl w:ilvl="0">
      <w:start w:val="1"/>
      <w:numFmt w:val="decimal"/>
      <w:pStyle w:val="Titre1"/>
      <w:lvlText w:val="%1."/>
      <w:lvlJc w:val="left"/>
      <w:pPr>
        <w:ind w:left="360" w:hanging="360"/>
      </w:pPr>
      <w:rPr>
        <w:rFonts w:hint="default"/>
      </w:rPr>
    </w:lvl>
    <w:lvl w:ilvl="1">
      <w:start w:val="1"/>
      <w:numFmt w:val="decimal"/>
      <w:pStyle w:val="Titre2"/>
      <w:lvlText w:val="%1.%2."/>
      <w:lvlJc w:val="left"/>
      <w:pPr>
        <w:ind w:left="357" w:hanging="357"/>
      </w:pPr>
      <w:rPr>
        <w:rFonts w:hint="default"/>
      </w:rPr>
    </w:lvl>
    <w:lvl w:ilvl="2">
      <w:start w:val="1"/>
      <w:numFmt w:val="decimal"/>
      <w:pStyle w:val="Titre3"/>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ACD211D"/>
    <w:multiLevelType w:val="multilevel"/>
    <w:tmpl w:val="30C682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3D446E"/>
    <w:multiLevelType w:val="multilevel"/>
    <w:tmpl w:val="7E3060F0"/>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6970F0"/>
    <w:multiLevelType w:val="multilevel"/>
    <w:tmpl w:val="2E003CF0"/>
    <w:lvl w:ilvl="0">
      <w:numFmt w:val="bullet"/>
      <w:lvlText w:val="-"/>
      <w:lvlJc w:val="left"/>
      <w:pPr>
        <w:tabs>
          <w:tab w:val="num" w:pos="644"/>
        </w:tabs>
        <w:ind w:left="644" w:hanging="360"/>
      </w:pPr>
      <w:rPr>
        <w:rFonts w:ascii="Times New Roman" w:eastAsia="Times New Roman" w:hAnsi="Times New Roman" w:cs="Times New Roman" w:hint="default"/>
      </w:rPr>
    </w:lvl>
    <w:lvl w:ilvl="1">
      <w:numFmt w:val="bullet"/>
      <w:lvlText w:val="•"/>
      <w:lvlJc w:val="left"/>
      <w:pPr>
        <w:ind w:left="1534" w:hanging="360"/>
      </w:pPr>
      <w:rPr>
        <w:rFonts w:ascii="Open Sans" w:eastAsiaTheme="minorHAnsi" w:hAnsi="Open Sans" w:cs="Open Sans" w:hint="default"/>
      </w:rPr>
    </w:lvl>
    <w:lvl w:ilvl="2">
      <w:start w:val="1"/>
      <w:numFmt w:val="bullet"/>
      <w:lvlText w:val=""/>
      <w:lvlJc w:val="left"/>
      <w:pPr>
        <w:tabs>
          <w:tab w:val="num" w:pos="2254"/>
        </w:tabs>
        <w:ind w:left="2254" w:hanging="360"/>
      </w:pPr>
      <w:rPr>
        <w:rFonts w:ascii="Wingdings" w:hAnsi="Wingdings" w:hint="default"/>
      </w:rPr>
    </w:lvl>
    <w:lvl w:ilvl="3">
      <w:start w:val="1"/>
      <w:numFmt w:val="bullet"/>
      <w:lvlText w:val=""/>
      <w:lvlJc w:val="left"/>
      <w:pPr>
        <w:tabs>
          <w:tab w:val="num" w:pos="2974"/>
        </w:tabs>
        <w:ind w:left="2974" w:hanging="360"/>
      </w:pPr>
      <w:rPr>
        <w:rFonts w:ascii="Symbol" w:hAnsi="Symbol" w:hint="default"/>
      </w:rPr>
    </w:lvl>
    <w:lvl w:ilvl="4">
      <w:start w:val="1"/>
      <w:numFmt w:val="bullet"/>
      <w:lvlText w:val="o"/>
      <w:lvlJc w:val="left"/>
      <w:pPr>
        <w:tabs>
          <w:tab w:val="num" w:pos="3694"/>
        </w:tabs>
        <w:ind w:left="3694" w:hanging="360"/>
      </w:pPr>
      <w:rPr>
        <w:rFonts w:ascii="Courier New" w:hAnsi="Courier New" w:hint="default"/>
      </w:rPr>
    </w:lvl>
    <w:lvl w:ilvl="5">
      <w:start w:val="1"/>
      <w:numFmt w:val="bullet"/>
      <w:lvlText w:val=""/>
      <w:lvlJc w:val="left"/>
      <w:pPr>
        <w:tabs>
          <w:tab w:val="num" w:pos="4414"/>
        </w:tabs>
        <w:ind w:left="4414" w:hanging="360"/>
      </w:pPr>
      <w:rPr>
        <w:rFonts w:ascii="Wingdings" w:hAnsi="Wingdings" w:hint="default"/>
      </w:rPr>
    </w:lvl>
    <w:lvl w:ilvl="6">
      <w:start w:val="1"/>
      <w:numFmt w:val="bullet"/>
      <w:lvlText w:val=""/>
      <w:lvlJc w:val="left"/>
      <w:pPr>
        <w:tabs>
          <w:tab w:val="num" w:pos="5134"/>
        </w:tabs>
        <w:ind w:left="5134" w:hanging="360"/>
      </w:pPr>
      <w:rPr>
        <w:rFonts w:ascii="Symbol" w:hAnsi="Symbol" w:hint="default"/>
      </w:rPr>
    </w:lvl>
    <w:lvl w:ilvl="7">
      <w:start w:val="1"/>
      <w:numFmt w:val="bullet"/>
      <w:lvlText w:val="o"/>
      <w:lvlJc w:val="left"/>
      <w:pPr>
        <w:tabs>
          <w:tab w:val="num" w:pos="5854"/>
        </w:tabs>
        <w:ind w:left="5854" w:hanging="360"/>
      </w:pPr>
      <w:rPr>
        <w:rFonts w:ascii="Courier New" w:hAnsi="Courier New" w:hint="default"/>
      </w:rPr>
    </w:lvl>
    <w:lvl w:ilvl="8">
      <w:start w:val="1"/>
      <w:numFmt w:val="bullet"/>
      <w:lvlText w:val=""/>
      <w:lvlJc w:val="left"/>
      <w:pPr>
        <w:tabs>
          <w:tab w:val="num" w:pos="6574"/>
        </w:tabs>
        <w:ind w:left="6574" w:hanging="360"/>
      </w:pPr>
      <w:rPr>
        <w:rFonts w:ascii="Wingdings" w:hAnsi="Wingdings" w:hint="default"/>
      </w:rPr>
    </w:lvl>
  </w:abstractNum>
  <w:abstractNum w:abstractNumId="12" w15:restartNumberingAfterBreak="0">
    <w:nsid w:val="682B0DB6"/>
    <w:multiLevelType w:val="multilevel"/>
    <w:tmpl w:val="5394D45E"/>
    <w:lvl w:ilvl="0">
      <w:numFmt w:val="bullet"/>
      <w:lvlText w:val="-"/>
      <w:lvlJc w:val="left"/>
      <w:pPr>
        <w:tabs>
          <w:tab w:val="num" w:pos="814"/>
        </w:tabs>
        <w:ind w:left="814" w:hanging="360"/>
      </w:pPr>
      <w:rPr>
        <w:rFonts w:ascii="Times New Roman" w:eastAsia="Times New Roman" w:hAnsi="Times New Roman" w:cs="Times New Roman" w:hint="default"/>
      </w:rPr>
    </w:lvl>
    <w:lvl w:ilvl="1">
      <w:start w:val="1"/>
      <w:numFmt w:val="bullet"/>
      <w:lvlText w:val="o"/>
      <w:lvlJc w:val="left"/>
      <w:pPr>
        <w:tabs>
          <w:tab w:val="num" w:pos="1534"/>
        </w:tabs>
        <w:ind w:left="1534" w:hanging="360"/>
      </w:pPr>
      <w:rPr>
        <w:rFonts w:ascii="Courier New" w:hAnsi="Courier New" w:hint="default"/>
      </w:rPr>
    </w:lvl>
    <w:lvl w:ilvl="2">
      <w:start w:val="1"/>
      <w:numFmt w:val="bullet"/>
      <w:lvlText w:val=""/>
      <w:lvlJc w:val="left"/>
      <w:pPr>
        <w:tabs>
          <w:tab w:val="num" w:pos="2254"/>
        </w:tabs>
        <w:ind w:left="2254" w:hanging="360"/>
      </w:pPr>
      <w:rPr>
        <w:rFonts w:ascii="Wingdings" w:hAnsi="Wingdings" w:hint="default"/>
      </w:rPr>
    </w:lvl>
    <w:lvl w:ilvl="3">
      <w:start w:val="1"/>
      <w:numFmt w:val="bullet"/>
      <w:lvlText w:val=""/>
      <w:lvlJc w:val="left"/>
      <w:pPr>
        <w:tabs>
          <w:tab w:val="num" w:pos="2974"/>
        </w:tabs>
        <w:ind w:left="2974" w:hanging="360"/>
      </w:pPr>
      <w:rPr>
        <w:rFonts w:ascii="Symbol" w:hAnsi="Symbol" w:hint="default"/>
      </w:rPr>
    </w:lvl>
    <w:lvl w:ilvl="4">
      <w:start w:val="1"/>
      <w:numFmt w:val="bullet"/>
      <w:lvlText w:val="o"/>
      <w:lvlJc w:val="left"/>
      <w:pPr>
        <w:tabs>
          <w:tab w:val="num" w:pos="3694"/>
        </w:tabs>
        <w:ind w:left="3694" w:hanging="360"/>
      </w:pPr>
      <w:rPr>
        <w:rFonts w:ascii="Courier New" w:hAnsi="Courier New" w:hint="default"/>
      </w:rPr>
    </w:lvl>
    <w:lvl w:ilvl="5">
      <w:start w:val="1"/>
      <w:numFmt w:val="bullet"/>
      <w:lvlText w:val=""/>
      <w:lvlJc w:val="left"/>
      <w:pPr>
        <w:tabs>
          <w:tab w:val="num" w:pos="4414"/>
        </w:tabs>
        <w:ind w:left="4414" w:hanging="360"/>
      </w:pPr>
      <w:rPr>
        <w:rFonts w:ascii="Wingdings" w:hAnsi="Wingdings" w:hint="default"/>
      </w:rPr>
    </w:lvl>
    <w:lvl w:ilvl="6">
      <w:start w:val="1"/>
      <w:numFmt w:val="bullet"/>
      <w:lvlText w:val=""/>
      <w:lvlJc w:val="left"/>
      <w:pPr>
        <w:tabs>
          <w:tab w:val="num" w:pos="5134"/>
        </w:tabs>
        <w:ind w:left="5134" w:hanging="360"/>
      </w:pPr>
      <w:rPr>
        <w:rFonts w:ascii="Symbol" w:hAnsi="Symbol" w:hint="default"/>
      </w:rPr>
    </w:lvl>
    <w:lvl w:ilvl="7">
      <w:start w:val="1"/>
      <w:numFmt w:val="bullet"/>
      <w:lvlText w:val="o"/>
      <w:lvlJc w:val="left"/>
      <w:pPr>
        <w:tabs>
          <w:tab w:val="num" w:pos="5854"/>
        </w:tabs>
        <w:ind w:left="5854" w:hanging="360"/>
      </w:pPr>
      <w:rPr>
        <w:rFonts w:ascii="Courier New" w:hAnsi="Courier New" w:hint="default"/>
      </w:rPr>
    </w:lvl>
    <w:lvl w:ilvl="8">
      <w:start w:val="1"/>
      <w:numFmt w:val="bullet"/>
      <w:lvlText w:val=""/>
      <w:lvlJc w:val="left"/>
      <w:pPr>
        <w:tabs>
          <w:tab w:val="num" w:pos="6574"/>
        </w:tabs>
        <w:ind w:left="6574" w:hanging="360"/>
      </w:pPr>
      <w:rPr>
        <w:rFonts w:ascii="Wingdings" w:hAnsi="Wingdings" w:hint="default"/>
      </w:rPr>
    </w:lvl>
  </w:abstractNum>
  <w:num w:numId="1">
    <w:abstractNumId w:val="8"/>
  </w:num>
  <w:num w:numId="2">
    <w:abstractNumId w:val="3"/>
  </w:num>
  <w:num w:numId="3">
    <w:abstractNumId w:val="2"/>
  </w:num>
  <w:num w:numId="4">
    <w:abstractNumId w:val="10"/>
  </w:num>
  <w:num w:numId="5">
    <w:abstractNumId w:val="1"/>
  </w:num>
  <w:num w:numId="6">
    <w:abstractNumId w:val="12"/>
  </w:num>
  <w:num w:numId="7">
    <w:abstractNumId w:val="11"/>
  </w:num>
  <w:num w:numId="8">
    <w:abstractNumId w:val="5"/>
  </w:num>
  <w:num w:numId="9">
    <w:abstractNumId w:val="0"/>
  </w:num>
  <w:num w:numId="10">
    <w:abstractNumId w:val="9"/>
  </w:num>
  <w:num w:numId="11">
    <w:abstractNumId w:val="7"/>
  </w:num>
  <w:num w:numId="12">
    <w:abstractNumId w:val="4"/>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343"/>
    <w:rsid w:val="00190EF8"/>
    <w:rsid w:val="00711438"/>
    <w:rsid w:val="00E96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BBB76"/>
  <w15:docId w15:val="{809ACF3E-EC45-444F-801E-E1C25A82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after="80" w:line="260" w:lineRule="exact"/>
      <w:jc w:val="both"/>
    </w:pPr>
  </w:style>
  <w:style w:type="paragraph" w:styleId="Titre1">
    <w:name w:val="heading 1"/>
    <w:basedOn w:val="Normal"/>
    <w:next w:val="Normal"/>
    <w:link w:val="Titre1Car"/>
    <w:uiPriority w:val="9"/>
    <w:qFormat/>
    <w:pPr>
      <w:keepNext/>
      <w:keepLines/>
      <w:numPr>
        <w:numId w:val="1"/>
      </w:numPr>
      <w:spacing w:before="240" w:after="240" w:line="240" w:lineRule="auto"/>
      <w:outlineLvl w:val="0"/>
    </w:pPr>
    <w:rPr>
      <w:rFonts w:asciiTheme="majorHAnsi" w:eastAsiaTheme="majorEastAsia" w:hAnsiTheme="majorHAnsi" w:cstheme="majorBidi"/>
      <w:b/>
      <w:color w:val="0032C8" w:themeColor="accent1"/>
      <w:sz w:val="32"/>
      <w:szCs w:val="32"/>
    </w:rPr>
  </w:style>
  <w:style w:type="paragraph" w:styleId="Titre2">
    <w:name w:val="heading 2"/>
    <w:basedOn w:val="Normal"/>
    <w:next w:val="Normal"/>
    <w:link w:val="Titre2Car"/>
    <w:uiPriority w:val="9"/>
    <w:unhideWhenUsed/>
    <w:qFormat/>
    <w:pPr>
      <w:keepNext/>
      <w:keepLines/>
      <w:numPr>
        <w:ilvl w:val="1"/>
        <w:numId w:val="1"/>
      </w:numPr>
      <w:spacing w:before="240" w:after="240" w:line="240" w:lineRule="auto"/>
      <w:outlineLvl w:val="1"/>
    </w:pPr>
    <w:rPr>
      <w:rFonts w:asciiTheme="majorHAnsi" w:eastAsiaTheme="majorEastAsia" w:hAnsiTheme="majorHAnsi" w:cstheme="majorBidi"/>
      <w:color w:val="0032C8" w:themeColor="accent1"/>
      <w:sz w:val="28"/>
      <w:szCs w:val="26"/>
    </w:rPr>
  </w:style>
  <w:style w:type="paragraph" w:styleId="Titre3">
    <w:name w:val="heading 3"/>
    <w:basedOn w:val="Normal"/>
    <w:next w:val="Normal"/>
    <w:link w:val="Titre3Car"/>
    <w:uiPriority w:val="9"/>
    <w:unhideWhenUsed/>
    <w:qFormat/>
    <w:pPr>
      <w:keepNext/>
      <w:keepLines/>
      <w:numPr>
        <w:ilvl w:val="2"/>
        <w:numId w:val="1"/>
      </w:numPr>
      <w:spacing w:before="200" w:after="200" w:line="240" w:lineRule="auto"/>
      <w:outlineLvl w:val="2"/>
    </w:pPr>
    <w:rPr>
      <w:rFonts w:asciiTheme="majorHAnsi" w:eastAsiaTheme="majorEastAsia" w:hAnsiTheme="majorHAnsi" w:cstheme="majorBidi"/>
      <w:b/>
      <w:color w:val="000000" w:themeColor="text1"/>
      <w:szCs w:val="24"/>
    </w:rPr>
  </w:style>
  <w:style w:type="paragraph" w:styleId="Titre4">
    <w:name w:val="heading 4"/>
    <w:basedOn w:val="Normal"/>
    <w:next w:val="Normal"/>
    <w:link w:val="Titre4Car"/>
    <w:uiPriority w:val="9"/>
    <w:unhideWhenUsed/>
    <w:qFormat/>
    <w:pPr>
      <w:keepNext/>
      <w:keepLines/>
      <w:spacing w:after="40"/>
      <w:outlineLvl w:val="3"/>
    </w:pPr>
    <w:rPr>
      <w:rFonts w:ascii="Arial" w:eastAsia="Arial" w:hAnsi="Arial" w:cs="Arial"/>
      <w:i/>
      <w:iCs/>
      <w:color w:val="002495" w:themeColor="accent1" w:themeShade="BF"/>
    </w:rPr>
  </w:style>
  <w:style w:type="paragraph" w:styleId="Titre5">
    <w:name w:val="heading 5"/>
    <w:basedOn w:val="Normal"/>
    <w:next w:val="Normal"/>
    <w:link w:val="Titre5Car"/>
    <w:uiPriority w:val="9"/>
    <w:unhideWhenUsed/>
    <w:qFormat/>
    <w:pPr>
      <w:keepNext/>
      <w:keepLines/>
      <w:spacing w:after="40"/>
      <w:outlineLvl w:val="4"/>
    </w:pPr>
    <w:rPr>
      <w:rFonts w:ascii="Arial" w:eastAsia="Arial" w:hAnsi="Arial" w:cs="Arial"/>
      <w:color w:val="00249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4Char">
    <w:name w:val="Heading 4 Char"/>
    <w:basedOn w:val="Policepardfaut"/>
    <w:uiPriority w:val="9"/>
    <w:rPr>
      <w:rFonts w:ascii="Arial" w:eastAsia="Arial" w:hAnsi="Arial" w:cs="Arial"/>
      <w:i/>
      <w:iCs/>
      <w:color w:val="002495" w:themeColor="accent1" w:themeShade="BF"/>
    </w:rPr>
  </w:style>
  <w:style w:type="character" w:customStyle="1" w:styleId="Heading5Char">
    <w:name w:val="Heading 5 Char"/>
    <w:basedOn w:val="Policepardfaut"/>
    <w:uiPriority w:val="9"/>
    <w:rPr>
      <w:rFonts w:ascii="Arial" w:eastAsia="Arial" w:hAnsi="Arial" w:cs="Arial"/>
      <w:color w:val="00249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002495" w:themeColor="accent1" w:themeShade="BF"/>
    </w:rPr>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character" w:styleId="Textedelespacerserv">
    <w:name w:val="Placeholder Text"/>
    <w:basedOn w:val="Policepardfaut"/>
    <w:uiPriority w:val="99"/>
    <w:semiHidden/>
    <w:rPr>
      <w:color w:val="666666"/>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b/>
        <w:color w:val="404040"/>
      </w:rPr>
      <w:tblPr/>
      <w:tcPr>
        <w:tcBorders>
          <w:bottom w:val="single" w:sz="12" w:space="0" w:color="4976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b/>
        <w:color w:val="404040"/>
      </w:rPr>
      <w:tblPr/>
      <w:tcPr>
        <w:tcBorders>
          <w:bottom w:val="single" w:sz="12" w:space="0" w:color="6AA4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b/>
        <w:color w:val="404040"/>
      </w:rPr>
      <w:tblPr/>
      <w:tcPr>
        <w:tcBorders>
          <w:bottom w:val="single" w:sz="12" w:space="0" w:color="FFF38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single" w:sz="12" w:space="0" w:color="0037E1" w:themeColor="accent1" w:themeTint="EA"/>
          <w:right w:val="none" w:sz="4" w:space="0" w:color="000000"/>
        </w:tcBorders>
        <w:shd w:val="clear" w:color="FFFFFF" w:fill="auto"/>
      </w:tcPr>
    </w:tblStylePr>
    <w:tblStylePr w:type="lastRow">
      <w:rPr>
        <w:b/>
        <w:color w:val="404040"/>
      </w:rPr>
      <w:tblPr/>
      <w:tcPr>
        <w:tcBorders>
          <w:top w:val="single" w:sz="4" w:space="0" w:color="0037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single" w:sz="12" w:space="0" w:color="68A3FF" w:themeColor="accent2" w:themeTint="97"/>
          <w:right w:val="none" w:sz="4" w:space="0" w:color="000000"/>
        </w:tcBorders>
        <w:shd w:val="clear" w:color="FFFFFF" w:fill="auto"/>
      </w:tcPr>
    </w:tblStylePr>
    <w:tblStylePr w:type="lastRow">
      <w:rPr>
        <w:b/>
        <w:color w:val="404040"/>
      </w:rPr>
      <w:tblPr/>
      <w:tcPr>
        <w:tcBorders>
          <w:top w:val="single" w:sz="4" w:space="0" w:color="68A3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single" w:sz="12" w:space="0" w:color="FFEA32" w:themeColor="accent3" w:themeTint="FE"/>
          <w:right w:val="none" w:sz="4" w:space="0" w:color="000000"/>
        </w:tcBorders>
        <w:shd w:val="clear" w:color="FFFFFF" w:fill="auto"/>
      </w:tcPr>
    </w:tblStylePr>
    <w:tblStylePr w:type="lastRow">
      <w:rPr>
        <w:b/>
        <w:color w:val="404040"/>
      </w:rPr>
      <w:tblPr/>
      <w:tcPr>
        <w:tcBorders>
          <w:top w:val="single" w:sz="4" w:space="0" w:color="FFEA3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insideV w:val="single" w:sz="4" w:space="0" w:color="4F7AFF" w:themeColor="accent1" w:themeTint="90"/>
      </w:tblBorders>
    </w:tblPr>
    <w:tblStylePr w:type="firstRow">
      <w:rPr>
        <w:rFonts w:ascii="Arial" w:hAnsi="Arial"/>
        <w:b/>
        <w:color w:val="FFFFFF"/>
        <w:sz w:val="22"/>
      </w:rPr>
      <w:tblPr/>
      <w:tcPr>
        <w:tcBorders>
          <w:top w:val="single" w:sz="4" w:space="0" w:color="0037E1" w:themeColor="accent1" w:themeTint="EA"/>
          <w:left w:val="single" w:sz="4" w:space="0" w:color="0037E1" w:themeColor="accent1" w:themeTint="EA"/>
          <w:bottom w:val="single" w:sz="4" w:space="0" w:color="0037E1" w:themeColor="accent1" w:themeTint="EA"/>
          <w:right w:val="single" w:sz="4" w:space="0" w:color="0037E1" w:themeColor="accent1" w:themeTint="EA"/>
        </w:tcBorders>
        <w:shd w:val="clear" w:color="0037E1" w:themeColor="accent1" w:themeTint="EA" w:fill="0037E1" w:themeFill="accent1" w:themeFillTint="EA"/>
      </w:tcPr>
    </w:tblStylePr>
    <w:tblStylePr w:type="lastRow">
      <w:rPr>
        <w:b/>
        <w:color w:val="404040"/>
      </w:rPr>
      <w:tblPr/>
      <w:tcPr>
        <w:tcBorders>
          <w:top w:val="single" w:sz="4" w:space="0" w:color="0037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D1FF" w:themeColor="accent1" w:themeTint="32" w:fill="C2D1FF" w:themeFill="accent1" w:themeFillTint="32"/>
      </w:tcPr>
    </w:tblStylePr>
    <w:tblStylePr w:type="band1Horz">
      <w:rPr>
        <w:rFonts w:ascii="Arial" w:hAnsi="Arial"/>
        <w:color w:val="404040"/>
        <w:sz w:val="22"/>
      </w:rPr>
      <w:tblPr/>
      <w:tcPr>
        <w:shd w:val="clear" w:color="C2D1FF" w:themeColor="accent1" w:themeTint="32" w:fill="C2D1FF"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insideV w:val="single" w:sz="4" w:space="0" w:color="6FA7FF" w:themeColor="accent2" w:themeTint="90"/>
      </w:tblBorders>
    </w:tblPr>
    <w:tblStylePr w:type="firstRow">
      <w:rPr>
        <w:rFonts w:ascii="Arial" w:hAnsi="Arial"/>
        <w:b/>
        <w:color w:val="FFFFFF"/>
        <w:sz w:val="22"/>
      </w:rPr>
      <w:tblPr/>
      <w:tcPr>
        <w:tc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cBorders>
        <w:shd w:val="clear" w:color="68A3FF" w:themeColor="accent2" w:themeTint="97" w:fill="68A3FF" w:themeFill="accent2" w:themeFillTint="97"/>
      </w:tcPr>
    </w:tblStylePr>
    <w:tblStylePr w:type="lastRow">
      <w:rPr>
        <w:b/>
        <w:color w:val="404040"/>
      </w:rPr>
      <w:tblPr/>
      <w:tcPr>
        <w:tcBorders>
          <w:top w:val="single" w:sz="4" w:space="0" w:color="68A3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insideV w:val="single" w:sz="4" w:space="0" w:color="FFF38B" w:themeColor="accent3" w:themeTint="90"/>
      </w:tblBorders>
    </w:tblPr>
    <w:tblStylePr w:type="firstRow">
      <w:rPr>
        <w:rFonts w:ascii="Arial" w:hAnsi="Arial"/>
        <w:b/>
        <w:color w:val="FFFFFF"/>
        <w:sz w:val="22"/>
      </w:rPr>
      <w:tblPr/>
      <w:tcPr>
        <w:tc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tcBorders>
        <w:shd w:val="clear" w:color="FFEA32" w:themeColor="accent3" w:themeTint="FE" w:fill="FFEA32" w:themeFill="accent3" w:themeFillTint="FE"/>
      </w:tcPr>
    </w:tblStylePr>
    <w:tblStylePr w:type="lastRow">
      <w:rPr>
        <w:b/>
        <w:color w:val="404040"/>
      </w:rPr>
      <w:tblPr/>
      <w:tcPr>
        <w:tcBorders>
          <w:top w:val="single" w:sz="4" w:space="0" w:color="FFEA3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CFFF" w:themeColor="accent1" w:themeTint="34" w:fill="BFCFFF" w:themeFill="accent1" w:themeFillTint="34"/>
    </w:tblPr>
    <w:tblStylePr w:type="firstRow">
      <w:rPr>
        <w:rFonts w:ascii="Arial" w:hAnsi="Arial"/>
        <w:b/>
        <w:color w:val="FFFFFF"/>
        <w:sz w:val="22"/>
      </w:rPr>
      <w:tblPr/>
      <w:tcPr>
        <w:shd w:val="clear" w:color="0032C8" w:themeColor="accent1" w:fill="0032C8" w:themeFill="accent1"/>
      </w:tcPr>
    </w:tblStylePr>
    <w:tblStylePr w:type="lastRow">
      <w:rPr>
        <w:rFonts w:ascii="Arial" w:hAnsi="Arial"/>
        <w:b/>
        <w:color w:val="FFFFFF"/>
        <w:sz w:val="22"/>
      </w:rPr>
      <w:tblPr/>
      <w:tcPr>
        <w:tcBorders>
          <w:top w:val="single" w:sz="4" w:space="0" w:color="FFFFFF" w:themeColor="light1"/>
        </w:tcBorders>
        <w:shd w:val="clear" w:color="0032C8" w:themeColor="accent1" w:fill="0032C8" w:themeFill="accent1"/>
      </w:tcPr>
    </w:tblStylePr>
    <w:tblStylePr w:type="firstCol">
      <w:rPr>
        <w:rFonts w:ascii="Arial" w:hAnsi="Arial"/>
        <w:b/>
        <w:color w:val="FFFFFF"/>
        <w:sz w:val="22"/>
      </w:rPr>
      <w:tblPr/>
      <w:tcPr>
        <w:shd w:val="clear" w:color="0032C8" w:themeColor="accent1" w:fill="0032C8" w:themeFill="accent1"/>
      </w:tcPr>
    </w:tblStylePr>
    <w:tblStylePr w:type="lastCol">
      <w:rPr>
        <w:rFonts w:ascii="Arial" w:hAnsi="Arial"/>
        <w:b/>
        <w:color w:val="FFFFFF"/>
        <w:sz w:val="22"/>
      </w:rPr>
      <w:tblPr/>
      <w:tcPr>
        <w:shd w:val="clear" w:color="0032C8" w:themeColor="accent1" w:fill="0032C8" w:themeFill="accent1"/>
      </w:tcPr>
    </w:tblStylePr>
    <w:tblStylePr w:type="band1Vert">
      <w:tblPr/>
      <w:tcPr>
        <w:shd w:val="clear" w:color="7093FF" w:themeColor="accent1" w:themeTint="75" w:fill="7093FF" w:themeFill="accent1" w:themeFillTint="75"/>
      </w:tcPr>
    </w:tblStylePr>
    <w:tblStylePr w:type="band1Horz">
      <w:tblPr/>
      <w:tcPr>
        <w:shd w:val="clear" w:color="7093FF" w:themeColor="accent1" w:themeTint="75" w:fill="7093FF"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E0FF" w:themeColor="accent2" w:themeTint="32" w:fill="CDE0FF" w:themeFill="accent2" w:themeFillTint="32"/>
    </w:tblPr>
    <w:tblStylePr w:type="firstRow">
      <w:rPr>
        <w:rFonts w:ascii="Arial" w:hAnsi="Arial"/>
        <w:b/>
        <w:color w:val="FFFFFF"/>
        <w:sz w:val="22"/>
      </w:rPr>
      <w:tblPr/>
      <w:tcPr>
        <w:shd w:val="clear" w:color="0064FF" w:themeColor="accent2" w:fill="0064FF" w:themeFill="accent2"/>
      </w:tcPr>
    </w:tblStylePr>
    <w:tblStylePr w:type="lastRow">
      <w:rPr>
        <w:rFonts w:ascii="Arial" w:hAnsi="Arial"/>
        <w:b/>
        <w:color w:val="FFFFFF"/>
        <w:sz w:val="22"/>
      </w:rPr>
      <w:tblPr/>
      <w:tcPr>
        <w:tcBorders>
          <w:top w:val="single" w:sz="4" w:space="0" w:color="FFFFFF" w:themeColor="light1"/>
        </w:tcBorders>
        <w:shd w:val="clear" w:color="0064FF" w:themeColor="accent2" w:fill="0064FF" w:themeFill="accent2"/>
      </w:tcPr>
    </w:tblStylePr>
    <w:tblStylePr w:type="firstCol">
      <w:rPr>
        <w:rFonts w:ascii="Arial" w:hAnsi="Arial"/>
        <w:b/>
        <w:color w:val="FFFFFF"/>
        <w:sz w:val="22"/>
      </w:rPr>
      <w:tblPr/>
      <w:tcPr>
        <w:shd w:val="clear" w:color="0064FF" w:themeColor="accent2" w:fill="0064FF" w:themeFill="accent2"/>
      </w:tcPr>
    </w:tblStylePr>
    <w:tblStylePr w:type="lastCol">
      <w:rPr>
        <w:rFonts w:ascii="Arial" w:hAnsi="Arial"/>
        <w:b/>
        <w:color w:val="FFFFFF"/>
        <w:sz w:val="22"/>
      </w:rPr>
      <w:tblPr/>
      <w:tcPr>
        <w:shd w:val="clear" w:color="0064FF" w:themeColor="accent2" w:fill="0064FF" w:themeFill="accent2"/>
      </w:tcPr>
    </w:tblStylePr>
    <w:tblStylePr w:type="band1Vert">
      <w:tblPr/>
      <w:tcPr>
        <w:shd w:val="clear" w:color="8AB7FF" w:themeColor="accent2" w:themeTint="75" w:fill="8AB7FF" w:themeFill="accent2" w:themeFillTint="75"/>
      </w:tcPr>
    </w:tblStylePr>
    <w:tblStylePr w:type="band1Horz">
      <w:tblPr/>
      <w:tcPr>
        <w:shd w:val="clear" w:color="8AB7FF" w:themeColor="accent2" w:themeTint="75" w:fill="8AB7FF"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AD5" w:themeColor="accent3" w:themeTint="34" w:fill="FFFAD5" w:themeFill="accent3" w:themeFillTint="34"/>
    </w:tblPr>
    <w:tblStylePr w:type="firstRow">
      <w:rPr>
        <w:rFonts w:ascii="Arial" w:hAnsi="Arial"/>
        <w:b/>
        <w:color w:val="FFFFFF"/>
        <w:sz w:val="22"/>
      </w:rPr>
      <w:tblPr/>
      <w:tcPr>
        <w:shd w:val="clear" w:color="FFEB32" w:themeColor="accent3" w:fill="FFEB32" w:themeFill="accent3"/>
      </w:tcPr>
    </w:tblStylePr>
    <w:tblStylePr w:type="lastRow">
      <w:rPr>
        <w:rFonts w:ascii="Arial" w:hAnsi="Arial"/>
        <w:b/>
        <w:color w:val="FFFFFF"/>
        <w:sz w:val="22"/>
      </w:rPr>
      <w:tblPr/>
      <w:tcPr>
        <w:tcBorders>
          <w:top w:val="single" w:sz="4" w:space="0" w:color="FFFFFF" w:themeColor="light1"/>
        </w:tcBorders>
        <w:shd w:val="clear" w:color="FFEB32" w:themeColor="accent3" w:fill="FFEB32" w:themeFill="accent3"/>
      </w:tcPr>
    </w:tblStylePr>
    <w:tblStylePr w:type="firstCol">
      <w:rPr>
        <w:rFonts w:ascii="Arial" w:hAnsi="Arial"/>
        <w:b/>
        <w:color w:val="FFFFFF"/>
        <w:sz w:val="22"/>
      </w:rPr>
      <w:tblPr/>
      <w:tcPr>
        <w:shd w:val="clear" w:color="FFEB32" w:themeColor="accent3" w:fill="FFEB32" w:themeFill="accent3"/>
      </w:tcPr>
    </w:tblStylePr>
    <w:tblStylePr w:type="lastCol">
      <w:rPr>
        <w:rFonts w:ascii="Arial" w:hAnsi="Arial"/>
        <w:b/>
        <w:color w:val="FFFFFF"/>
        <w:sz w:val="22"/>
      </w:rPr>
      <w:tblPr/>
      <w:tcPr>
        <w:shd w:val="clear" w:color="FFEB32" w:themeColor="accent3" w:fill="FFEB32" w:themeFill="accent3"/>
      </w:tcPr>
    </w:tblStylePr>
    <w:tblStylePr w:type="band1Vert">
      <w:tblPr/>
      <w:tcPr>
        <w:shd w:val="clear" w:color="FFF5A0" w:themeColor="accent3" w:themeTint="75" w:fill="FFF5A0" w:themeFill="accent3" w:themeFillTint="75"/>
      </w:tcPr>
    </w:tblStylePr>
    <w:tblStylePr w:type="band1Horz">
      <w:tblPr/>
      <w:tcPr>
        <w:shd w:val="clear" w:color="FFF5A0" w:themeColor="accent3" w:themeTint="75" w:fill="FFF5A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89FF" w:themeColor="accent1" w:themeTint="80"/>
        <w:left w:val="single" w:sz="4" w:space="0" w:color="6389FF" w:themeColor="accent1" w:themeTint="80"/>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b/>
        <w:color w:val="6389FF" w:themeColor="accent1" w:themeTint="80" w:themeShade="95"/>
      </w:rPr>
      <w:tblPr/>
      <w:tcPr>
        <w:tcBorders>
          <w:bottom w:val="single" w:sz="12" w:space="0" w:color="6389FF" w:themeColor="accent1" w:themeTint="80"/>
        </w:tcBorders>
      </w:tcPr>
    </w:tblStylePr>
    <w:tblStylePr w:type="lastRow">
      <w:rPr>
        <w:b/>
        <w:color w:val="6389FF" w:themeColor="accent1" w:themeTint="80" w:themeShade="95"/>
      </w:rPr>
    </w:tblStylePr>
    <w:tblStylePr w:type="firstCol">
      <w:rPr>
        <w:b/>
        <w:color w:val="6389FF" w:themeColor="accent1" w:themeTint="80" w:themeShade="95"/>
      </w:rPr>
    </w:tblStylePr>
    <w:tblStylePr w:type="lastCol">
      <w:rPr>
        <w:b/>
        <w:color w:val="6389FF" w:themeColor="accent1" w:themeTint="80" w:themeShade="95"/>
      </w:r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68A3FF" w:themeColor="accent2" w:themeTint="97" w:themeShade="95"/>
      </w:rPr>
      <w:tblPr/>
      <w:tcPr>
        <w:tcBorders>
          <w:bottom w:val="single" w:sz="12" w:space="0" w:color="68A3FF" w:themeColor="accent2" w:themeTint="97"/>
        </w:tcBorders>
      </w:tcPr>
    </w:tblStylePr>
    <w:tblStylePr w:type="lastRow">
      <w:rPr>
        <w:b/>
        <w:color w:val="68A3FF" w:themeColor="accent2" w:themeTint="97" w:themeShade="95"/>
      </w:r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FFEA32" w:themeColor="accent3" w:themeTint="FE" w:themeShade="95"/>
      </w:rPr>
      <w:tblPr/>
      <w:tcPr>
        <w:tcBorders>
          <w:bottom w:val="single" w:sz="12" w:space="0" w:color="FFEA32" w:themeColor="accent3" w:themeTint="FE"/>
        </w:tcBorders>
      </w:tcPr>
    </w:tblStylePr>
    <w:tblStylePr w:type="lastRow">
      <w:rPr>
        <w:b/>
        <w:color w:val="FFEA32" w:themeColor="accent3" w:themeTint="FE" w:themeShade="95"/>
      </w:rPr>
    </w:tblStylePr>
    <w:tblStylePr w:type="firstCol">
      <w:rPr>
        <w:b/>
        <w:color w:val="FFEA32" w:themeColor="accent3" w:themeTint="FE" w:themeShade="95"/>
      </w:rPr>
    </w:tblStylePr>
    <w:tblStylePr w:type="lastCol">
      <w:rPr>
        <w:b/>
        <w:color w:val="FFEA32" w:themeColor="accent3" w:themeTint="FE" w:themeShade="95"/>
      </w:r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rFonts w:ascii="Arial" w:hAnsi="Arial"/>
        <w:b/>
        <w:color w:val="6389FF" w:themeColor="accent1" w:themeTint="80" w:themeShade="95"/>
        <w:sz w:val="22"/>
      </w:rPr>
      <w:tblPr/>
      <w:tcPr>
        <w:tcBorders>
          <w:top w:val="none" w:sz="0" w:space="0" w:color="000000"/>
          <w:left w:val="none" w:sz="0" w:space="0" w:color="000000"/>
          <w:bottom w:val="single" w:sz="4" w:space="0" w:color="6389FF" w:themeColor="accent1" w:themeTint="80"/>
          <w:right w:val="none" w:sz="0" w:space="0" w:color="000000"/>
        </w:tcBorders>
        <w:shd w:val="clear" w:color="FFFFFF" w:themeColor="light1" w:fill="FFFFFF" w:themeFill="light1"/>
      </w:tcPr>
    </w:tblStylePr>
    <w:tblStylePr w:type="lastRow">
      <w:rPr>
        <w:rFonts w:ascii="Arial" w:hAnsi="Arial"/>
        <w:b/>
        <w:color w:val="6389FF" w:themeColor="accent1" w:themeTint="80" w:themeShade="95"/>
        <w:sz w:val="22"/>
      </w:rPr>
      <w:tblPr/>
      <w:tcPr>
        <w:tcBorders>
          <w:top w:val="single" w:sz="4" w:space="0" w:color="6389FF"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89FF" w:themeColor="accent1" w:themeTint="80" w:themeShade="95"/>
        <w:sz w:val="22"/>
      </w:rPr>
      <w:tblPr/>
      <w:tcPr>
        <w:tcBorders>
          <w:top w:val="none" w:sz="0" w:space="0" w:color="000000"/>
          <w:left w:val="none" w:sz="0" w:space="0" w:color="000000"/>
          <w:bottom w:val="none" w:sz="0" w:space="0" w:color="000000"/>
          <w:right w:val="single" w:sz="4" w:space="0" w:color="6389FF" w:themeColor="accent1" w:themeTint="80"/>
        </w:tcBorders>
        <w:shd w:val="clear" w:color="FFFFFF" w:fill="auto"/>
      </w:tcPr>
    </w:tblStylePr>
    <w:tblStylePr w:type="lastCol">
      <w:rPr>
        <w:rFonts w:ascii="Arial" w:hAnsi="Arial"/>
        <w:i/>
        <w:color w:val="6389FF" w:themeColor="accent1" w:themeTint="80" w:themeShade="95"/>
        <w:sz w:val="22"/>
      </w:rPr>
      <w:tblPr/>
      <w:tcPr>
        <w:tcBorders>
          <w:top w:val="none" w:sz="0" w:space="0" w:color="000000"/>
          <w:left w:val="single" w:sz="4" w:space="0" w:color="6389FF" w:themeColor="accent1" w:themeTint="80"/>
          <w:bottom w:val="none" w:sz="0" w:space="0" w:color="000000"/>
          <w:right w:val="none" w:sz="0" w:space="0" w:color="000000"/>
        </w:tcBorders>
        <w:shd w:val="clear" w:color="FFFFFF" w:fill="auto"/>
      </w:tc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rFonts w:ascii="Arial" w:hAnsi="Arial"/>
        <w:b/>
        <w:color w:val="68A3FF" w:themeColor="accent2" w:themeTint="97" w:themeShade="95"/>
        <w:sz w:val="22"/>
      </w:rPr>
      <w:tblPr/>
      <w:tcPr>
        <w:tcBorders>
          <w:top w:val="none" w:sz="0" w:space="0" w:color="000000"/>
          <w:left w:val="none" w:sz="0" w:space="0" w:color="000000"/>
          <w:bottom w:val="single" w:sz="4" w:space="0" w:color="68A3FF" w:themeColor="accent2" w:themeTint="97"/>
          <w:right w:val="none" w:sz="0" w:space="0" w:color="000000"/>
        </w:tcBorders>
        <w:shd w:val="clear" w:color="FFFFFF" w:themeColor="light1" w:fill="FFFFFF" w:themeFill="light1"/>
      </w:tcPr>
    </w:tblStylePr>
    <w:tblStylePr w:type="lastRow">
      <w:rPr>
        <w:rFonts w:ascii="Arial" w:hAnsi="Arial"/>
        <w:b/>
        <w:color w:val="68A3FF" w:themeColor="accent2" w:themeTint="97" w:themeShade="95"/>
        <w:sz w:val="22"/>
      </w:rPr>
      <w:tblPr/>
      <w:tcPr>
        <w:tcBorders>
          <w:top w:val="single" w:sz="4" w:space="0" w:color="68A3FF"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0" w:space="0" w:color="000000"/>
          <w:left w:val="none" w:sz="0" w:space="0" w:color="000000"/>
          <w:bottom w:val="none" w:sz="0"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0" w:space="0" w:color="000000"/>
          <w:left w:val="single" w:sz="4" w:space="0" w:color="68A3FF" w:themeColor="accent2" w:themeTint="97"/>
          <w:bottom w:val="none" w:sz="0" w:space="0" w:color="000000"/>
          <w:right w:val="none" w:sz="0" w:space="0" w:color="000000"/>
        </w:tcBorders>
        <w:shd w:val="clear" w:color="FFFFFF" w:fill="auto"/>
      </w:tc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rFonts w:ascii="Arial" w:hAnsi="Arial"/>
        <w:b/>
        <w:color w:val="FFEA32" w:themeColor="accent3" w:themeTint="FE" w:themeShade="95"/>
        <w:sz w:val="22"/>
      </w:rPr>
      <w:tblPr/>
      <w:tcPr>
        <w:tcBorders>
          <w:top w:val="none" w:sz="0" w:space="0" w:color="000000"/>
          <w:left w:val="none" w:sz="0" w:space="0" w:color="000000"/>
          <w:bottom w:val="single" w:sz="4" w:space="0" w:color="FFEA32" w:themeColor="accent3" w:themeTint="FE"/>
          <w:right w:val="none" w:sz="0" w:space="0" w:color="000000"/>
        </w:tcBorders>
        <w:shd w:val="clear" w:color="FFFFFF" w:themeColor="light1" w:fill="FFFFFF" w:themeFill="light1"/>
      </w:tcPr>
    </w:tblStylePr>
    <w:tblStylePr w:type="lastRow">
      <w:rPr>
        <w:rFonts w:ascii="Arial" w:hAnsi="Arial"/>
        <w:b/>
        <w:color w:val="FFEA32" w:themeColor="accent3" w:themeTint="FE" w:themeShade="95"/>
        <w:sz w:val="22"/>
      </w:rPr>
      <w:tblPr/>
      <w:tcPr>
        <w:tcBorders>
          <w:top w:val="single" w:sz="4" w:space="0" w:color="FFEA32"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EA32" w:themeColor="accent3" w:themeTint="FE" w:themeShade="95"/>
        <w:sz w:val="22"/>
      </w:rPr>
      <w:tblPr/>
      <w:tcPr>
        <w:tcBorders>
          <w:top w:val="none" w:sz="0" w:space="0" w:color="000000"/>
          <w:left w:val="none" w:sz="0" w:space="0" w:color="000000"/>
          <w:bottom w:val="none" w:sz="0" w:space="0" w:color="000000"/>
          <w:right w:val="single" w:sz="4" w:space="0" w:color="FFEA32" w:themeColor="accent3" w:themeTint="FE"/>
        </w:tcBorders>
        <w:shd w:val="clear" w:color="FFFFFF" w:fill="auto"/>
      </w:tcPr>
    </w:tblStylePr>
    <w:tblStylePr w:type="lastCol">
      <w:rPr>
        <w:rFonts w:ascii="Arial" w:hAnsi="Arial"/>
        <w:i/>
        <w:color w:val="FFEA32" w:themeColor="accent3" w:themeTint="FE" w:themeShade="95"/>
        <w:sz w:val="22"/>
      </w:rPr>
      <w:tblPr/>
      <w:tcPr>
        <w:tcBorders>
          <w:top w:val="none" w:sz="0" w:space="0" w:color="000000"/>
          <w:left w:val="single" w:sz="4" w:space="0" w:color="FFEA32" w:themeColor="accent3" w:themeTint="FE"/>
          <w:bottom w:val="none" w:sz="0" w:space="0" w:color="000000"/>
          <w:right w:val="none" w:sz="0" w:space="0" w:color="000000"/>
        </w:tcBorders>
        <w:shd w:val="clear" w:color="FFFFFF" w:fill="auto"/>
      </w:tc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32C8" w:themeColor="accent1"/>
          <w:right w:val="none" w:sz="4" w:space="0" w:color="000000"/>
        </w:tcBorders>
      </w:tcPr>
    </w:tblStylePr>
    <w:tblStylePr w:type="lastRow">
      <w:rPr>
        <w:b/>
        <w:color w:val="404040"/>
      </w:rPr>
      <w:tblPr/>
      <w:tcPr>
        <w:tcBorders>
          <w:top w:val="single" w:sz="4" w:space="0" w:color="0032C8"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C4FF" w:themeColor="accent1" w:themeTint="40" w:fill="B1C4FF" w:themeFill="accent1" w:themeFillTint="40"/>
      </w:tcPr>
    </w:tblStylePr>
    <w:tblStylePr w:type="band1Horz">
      <w:tblPr/>
      <w:tcPr>
        <w:shd w:val="clear" w:color="B1C4FF" w:themeColor="accent1" w:themeTint="40" w:fill="B1C4FF"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64FF" w:themeColor="accent2"/>
          <w:right w:val="none" w:sz="4" w:space="0" w:color="000000"/>
        </w:tcBorders>
      </w:tcPr>
    </w:tblStylePr>
    <w:tblStylePr w:type="lastRow">
      <w:rPr>
        <w:b/>
        <w:color w:val="404040"/>
      </w:rPr>
      <w:tblPr/>
      <w:tcPr>
        <w:tcBorders>
          <w:top w:val="single" w:sz="4" w:space="0" w:color="0064F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D8FF" w:themeColor="accent2" w:themeTint="40" w:fill="BFD8FF" w:themeFill="accent2" w:themeFillTint="40"/>
      </w:tcPr>
    </w:tblStylePr>
    <w:tblStylePr w:type="band1Horz">
      <w:tblPr/>
      <w:tcPr>
        <w:shd w:val="clear" w:color="BFD8FF" w:themeColor="accent2" w:themeTint="40" w:fill="BFD8FF"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EB32" w:themeColor="accent3"/>
          <w:right w:val="none" w:sz="4" w:space="0" w:color="000000"/>
        </w:tcBorders>
      </w:tcPr>
    </w:tblStylePr>
    <w:tblStylePr w:type="lastRow">
      <w:rPr>
        <w:b/>
        <w:color w:val="404040"/>
      </w:rPr>
      <w:tblPr/>
      <w:tcPr>
        <w:tcBorders>
          <w:top w:val="single" w:sz="4" w:space="0" w:color="FFEB3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9CB" w:themeColor="accent3" w:themeTint="40" w:fill="FFF9CB" w:themeFill="accent3" w:themeFillTint="40"/>
      </w:tcPr>
    </w:tblStylePr>
    <w:tblStylePr w:type="band1Horz">
      <w:tblPr/>
      <w:tcPr>
        <w:shd w:val="clear" w:color="FFF9CB" w:themeColor="accent3" w:themeTint="40" w:fill="FFF9CB"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4F7AFF" w:themeColor="accent1" w:themeTint="90"/>
        <w:bottom w:val="single" w:sz="4" w:space="0" w:color="4F7AFF" w:themeColor="accent1" w:themeTint="90"/>
        <w:insideH w:val="single" w:sz="4" w:space="0" w:color="4F7AFF" w:themeColor="accent1" w:themeTint="90"/>
      </w:tblBorders>
    </w:tblPr>
    <w:tblStylePr w:type="fir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la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6FA7FF" w:themeColor="accent2" w:themeTint="90"/>
        <w:bottom w:val="single" w:sz="4" w:space="0" w:color="6FA7FF" w:themeColor="accent2" w:themeTint="90"/>
        <w:insideH w:val="single" w:sz="4" w:space="0" w:color="6FA7FF" w:themeColor="accent2" w:themeTint="90"/>
      </w:tblBorders>
    </w:tblPr>
    <w:tblStylePr w:type="fir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la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FFF38B" w:themeColor="accent3" w:themeTint="90"/>
        <w:bottom w:val="single" w:sz="4" w:space="0" w:color="FFF38B" w:themeColor="accent3" w:themeTint="90"/>
        <w:insideH w:val="single" w:sz="4" w:space="0" w:color="FFF38B" w:themeColor="accent3" w:themeTint="90"/>
      </w:tblBorders>
    </w:tblPr>
    <w:tblStylePr w:type="fir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la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0032C8" w:themeColor="accent1"/>
        <w:left w:val="single" w:sz="4" w:space="0" w:color="0032C8" w:themeColor="accent1"/>
        <w:bottom w:val="single" w:sz="4" w:space="0" w:color="0032C8" w:themeColor="accent1"/>
        <w:right w:val="single" w:sz="4" w:space="0" w:color="0032C8" w:themeColor="accent1"/>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32C8" w:themeColor="accent1"/>
          <w:right w:val="single" w:sz="4" w:space="0" w:color="0032C8" w:themeColor="accent1"/>
        </w:tcBorders>
      </w:tcPr>
    </w:tblStylePr>
    <w:tblStylePr w:type="band1Horz">
      <w:rPr>
        <w:rFonts w:ascii="Arial" w:hAnsi="Arial"/>
        <w:color w:val="404040"/>
        <w:sz w:val="22"/>
      </w:rPr>
      <w:tblPr/>
      <w:tcPr>
        <w:tcBorders>
          <w:top w:val="single" w:sz="4" w:space="0" w:color="0032C8" w:themeColor="accent1"/>
          <w:bottom w:val="single" w:sz="4" w:space="0" w:color="0032C8"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blBorders>
    </w:tblPr>
    <w:tblStylePr w:type="firstRow">
      <w:rPr>
        <w:rFonts w:ascii="Arial" w:hAnsi="Arial"/>
        <w:b/>
        <w:color w:val="FFFFFF"/>
        <w:sz w:val="22"/>
      </w:rPr>
      <w:tblPr/>
      <w:tcPr>
        <w:shd w:val="clear" w:color="68A3FF" w:themeColor="accent2" w:themeTint="97" w:fill="68A3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A3FF" w:themeColor="accent2" w:themeTint="97"/>
          <w:right w:val="single" w:sz="4" w:space="0" w:color="68A3FF" w:themeColor="accent2" w:themeTint="97"/>
        </w:tcBorders>
      </w:tcPr>
    </w:tblStylePr>
    <w:tblStylePr w:type="band1Horz">
      <w:rPr>
        <w:rFonts w:ascii="Arial" w:hAnsi="Arial"/>
        <w:color w:val="404040"/>
        <w:sz w:val="22"/>
      </w:rPr>
      <w:tblPr/>
      <w:tcPr>
        <w:tcBorders>
          <w:top w:val="single" w:sz="4" w:space="0" w:color="68A3FF" w:themeColor="accent2" w:themeTint="97"/>
          <w:bottom w:val="single" w:sz="4" w:space="0" w:color="68A3FF"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FFF384" w:themeColor="accent3" w:themeTint="98"/>
        <w:left w:val="single" w:sz="4" w:space="0" w:color="FFF384" w:themeColor="accent3" w:themeTint="98"/>
        <w:bottom w:val="single" w:sz="4" w:space="0" w:color="FFF384" w:themeColor="accent3" w:themeTint="98"/>
        <w:right w:val="single" w:sz="4" w:space="0" w:color="FFF384" w:themeColor="accent3" w:themeTint="98"/>
      </w:tblBorders>
    </w:tblPr>
    <w:tblStylePr w:type="firstRow">
      <w:rPr>
        <w:rFonts w:ascii="Arial" w:hAnsi="Arial"/>
        <w:b/>
        <w:color w:val="FFFFFF"/>
        <w:sz w:val="22"/>
      </w:rPr>
      <w:tblPr/>
      <w:tcPr>
        <w:shd w:val="clear" w:color="FFF384" w:themeColor="accent3" w:themeTint="98" w:fill="FFF38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384" w:themeColor="accent3" w:themeTint="98"/>
          <w:right w:val="single" w:sz="4" w:space="0" w:color="FFF384" w:themeColor="accent3" w:themeTint="98"/>
        </w:tcBorders>
      </w:tcPr>
    </w:tblStylePr>
    <w:tblStylePr w:type="band1Horz">
      <w:rPr>
        <w:rFonts w:ascii="Arial" w:hAnsi="Arial"/>
        <w:color w:val="404040"/>
        <w:sz w:val="22"/>
      </w:rPr>
      <w:tblPr/>
      <w:tcPr>
        <w:tcBorders>
          <w:top w:val="single" w:sz="4" w:space="0" w:color="FFF384" w:themeColor="accent3" w:themeTint="98"/>
          <w:bottom w:val="single" w:sz="4" w:space="0" w:color="FFF384"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tblBorders>
    </w:tblPr>
    <w:tblStylePr w:type="firstRow">
      <w:rPr>
        <w:rFonts w:ascii="Arial" w:hAnsi="Arial"/>
        <w:b/>
        <w:color w:val="FFFFFF"/>
        <w:sz w:val="22"/>
      </w:rPr>
      <w:tblPr/>
      <w:tcPr>
        <w:shd w:val="clear" w:color="0064FF" w:themeColor="accent2" w:fill="0064F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tblBorders>
    </w:tblPr>
    <w:tblStylePr w:type="firstRow">
      <w:rPr>
        <w:rFonts w:ascii="Arial" w:hAnsi="Arial"/>
        <w:b/>
        <w:color w:val="FFFFFF"/>
        <w:sz w:val="22"/>
      </w:rPr>
      <w:tblPr/>
      <w:tcPr>
        <w:shd w:val="clear" w:color="FFEB32" w:themeColor="accent3" w:fill="FFEB3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0032C8" w:themeColor="accent1"/>
        <w:left w:val="single" w:sz="32" w:space="0" w:color="0032C8" w:themeColor="accent1"/>
        <w:bottom w:val="single" w:sz="32" w:space="0" w:color="0032C8" w:themeColor="accent1"/>
        <w:right w:val="single" w:sz="32" w:space="0" w:color="0032C8" w:themeColor="accent1"/>
      </w:tblBorders>
      <w:shd w:val="clear" w:color="0032C8" w:themeColor="accent1" w:fill="0032C8" w:themeFill="accent1"/>
    </w:tblPr>
    <w:tblStylePr w:type="firstRow">
      <w:rPr>
        <w:rFonts w:ascii="Arial" w:hAnsi="Arial"/>
        <w:b/>
        <w:color w:val="FFFFFF" w:themeColor="light1"/>
        <w:sz w:val="22"/>
      </w:rPr>
      <w:tblPr/>
      <w:tcPr>
        <w:tcBorders>
          <w:top w:val="single" w:sz="32" w:space="0" w:color="0032C8" w:themeColor="accent1"/>
          <w:bottom w:val="single" w:sz="12" w:space="0" w:color="FFFFFF" w:themeColor="light1"/>
        </w:tcBorders>
        <w:shd w:val="clear" w:color="0032C8" w:themeColor="accent1" w:fill="0032C8"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32C8" w:themeColor="accent1"/>
          <w:right w:val="single" w:sz="4" w:space="0" w:color="FFFFFF" w:themeColor="light1"/>
        </w:tcBorders>
      </w:tcPr>
    </w:tblStylePr>
    <w:tblStylePr w:type="lastCol">
      <w:tblPr/>
      <w:tcPr>
        <w:tcBorders>
          <w:left w:val="single" w:sz="4" w:space="0" w:color="FFFFFF" w:themeColor="light1"/>
          <w:right w:val="single" w:sz="32" w:space="0" w:color="0032C8" w:themeColor="accent1"/>
        </w:tcBorders>
      </w:tcPr>
    </w:tblStylePr>
    <w:tblStylePr w:type="band1Vert">
      <w:tblPr/>
      <w:tcPr>
        <w:tcBorders>
          <w:left w:val="single" w:sz="4" w:space="0" w:color="FFFFFF" w:themeColor="light1"/>
          <w:right w:val="single" w:sz="4" w:space="0" w:color="FFFFFF" w:themeColor="light1"/>
        </w:tcBorders>
        <w:shd w:val="clear" w:color="0032C8" w:themeColor="accent1" w:fill="0032C8"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32C8" w:themeColor="accent1" w:fill="0032C8" w:themeFill="accent1"/>
      </w:tcPr>
    </w:tblStylePr>
    <w:tblStylePr w:type="band2Horz">
      <w:tblPr/>
      <w:tcPr>
        <w:tcBorders>
          <w:top w:val="single" w:sz="4" w:space="0" w:color="FFFFFF" w:themeColor="light1"/>
          <w:bottom w:val="single" w:sz="4" w:space="0" w:color="FFFFFF" w:themeColor="light1"/>
        </w:tcBorders>
        <w:shd w:val="clear" w:color="0032C8" w:themeColor="accent1" w:fill="0032C8"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68A3FF" w:themeColor="accent2" w:themeTint="97"/>
        <w:left w:val="single" w:sz="32" w:space="0" w:color="68A3FF" w:themeColor="accent2" w:themeTint="97"/>
        <w:bottom w:val="single" w:sz="32" w:space="0" w:color="68A3FF" w:themeColor="accent2" w:themeTint="97"/>
        <w:right w:val="single" w:sz="32" w:space="0" w:color="68A3FF" w:themeColor="accent2" w:themeTint="97"/>
      </w:tblBorders>
      <w:shd w:val="clear" w:color="68A3FF" w:themeColor="accent2" w:themeTint="97" w:fill="68A3FF" w:themeFill="accent2" w:themeFillTint="97"/>
    </w:tblPr>
    <w:tblStylePr w:type="firstRow">
      <w:rPr>
        <w:rFonts w:ascii="Arial" w:hAnsi="Arial"/>
        <w:b/>
        <w:color w:val="FFFFFF" w:themeColor="light1"/>
        <w:sz w:val="22"/>
      </w:rPr>
      <w:tblPr/>
      <w:tcPr>
        <w:tcBorders>
          <w:top w:val="single" w:sz="32" w:space="0" w:color="68A3FF" w:themeColor="accent2" w:themeTint="97"/>
          <w:bottom w:val="single" w:sz="12" w:space="0" w:color="FFFFFF" w:themeColor="light1"/>
        </w:tcBorders>
        <w:shd w:val="clear" w:color="68A3FF" w:themeColor="accent2" w:themeTint="97" w:fill="68A3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A3FF" w:themeColor="accent2" w:themeTint="97"/>
          <w:right w:val="single" w:sz="4" w:space="0" w:color="FFFFFF" w:themeColor="light1"/>
        </w:tcBorders>
      </w:tcPr>
    </w:tblStylePr>
    <w:tblStylePr w:type="lastCol">
      <w:tblPr/>
      <w:tcPr>
        <w:tcBorders>
          <w:left w:val="single" w:sz="4" w:space="0" w:color="FFFFFF" w:themeColor="light1"/>
          <w:right w:val="single" w:sz="32" w:space="0" w:color="68A3FF" w:themeColor="accent2" w:themeTint="97"/>
        </w:tcBorders>
      </w:tcPr>
    </w:tblStylePr>
    <w:tblStylePr w:type="band1Vert">
      <w:tblPr/>
      <w:tcPr>
        <w:tcBorders>
          <w:left w:val="single" w:sz="4" w:space="0" w:color="FFFFFF" w:themeColor="light1"/>
          <w:right w:val="single" w:sz="4" w:space="0" w:color="FFFFFF" w:themeColor="light1"/>
        </w:tcBorders>
        <w:shd w:val="clear" w:color="68A3FF" w:themeColor="accent2" w:themeTint="97" w:fill="68A3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tblStylePr w:type="band2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FFF384" w:themeColor="accent3" w:themeTint="98"/>
        <w:left w:val="single" w:sz="32" w:space="0" w:color="FFF384" w:themeColor="accent3" w:themeTint="98"/>
        <w:bottom w:val="single" w:sz="32" w:space="0" w:color="FFF384" w:themeColor="accent3" w:themeTint="98"/>
        <w:right w:val="single" w:sz="32" w:space="0" w:color="FFF384" w:themeColor="accent3" w:themeTint="98"/>
      </w:tblBorders>
      <w:shd w:val="clear" w:color="FFF384" w:themeColor="accent3" w:themeTint="98" w:fill="FFF384" w:themeFill="accent3" w:themeFillTint="98"/>
    </w:tblPr>
    <w:tblStylePr w:type="firstRow">
      <w:rPr>
        <w:rFonts w:ascii="Arial" w:hAnsi="Arial"/>
        <w:b/>
        <w:color w:val="FFFFFF" w:themeColor="light1"/>
        <w:sz w:val="22"/>
      </w:rPr>
      <w:tblPr/>
      <w:tcPr>
        <w:tcBorders>
          <w:top w:val="single" w:sz="32" w:space="0" w:color="FFF384" w:themeColor="accent3" w:themeTint="98"/>
          <w:bottom w:val="single" w:sz="12" w:space="0" w:color="FFFFFF" w:themeColor="light1"/>
        </w:tcBorders>
        <w:shd w:val="clear" w:color="FFF384" w:themeColor="accent3" w:themeTint="98" w:fill="FFF38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384" w:themeColor="accent3" w:themeTint="98"/>
          <w:right w:val="single" w:sz="4" w:space="0" w:color="FFFFFF" w:themeColor="light1"/>
        </w:tcBorders>
      </w:tcPr>
    </w:tblStylePr>
    <w:tblStylePr w:type="lastCol">
      <w:tblPr/>
      <w:tcPr>
        <w:tcBorders>
          <w:left w:val="single" w:sz="4" w:space="0" w:color="FFFFFF" w:themeColor="light1"/>
          <w:right w:val="single" w:sz="32" w:space="0" w:color="FFF384" w:themeColor="accent3" w:themeTint="98"/>
        </w:tcBorders>
      </w:tcPr>
    </w:tblStylePr>
    <w:tblStylePr w:type="band1Vert">
      <w:tblPr/>
      <w:tcPr>
        <w:tcBorders>
          <w:left w:val="single" w:sz="4" w:space="0" w:color="FFFFFF" w:themeColor="light1"/>
          <w:right w:val="single" w:sz="4" w:space="0" w:color="FFFFFF" w:themeColor="light1"/>
        </w:tcBorders>
        <w:shd w:val="clear" w:color="FFF384" w:themeColor="accent3" w:themeTint="98" w:fill="FFF38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tblStylePr w:type="band2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0032C8" w:themeColor="accent1"/>
        <w:bottom w:val="single" w:sz="4" w:space="0" w:color="0032C8" w:themeColor="accent1"/>
      </w:tblBorders>
    </w:tblPr>
    <w:tblStylePr w:type="firstRow">
      <w:rPr>
        <w:b/>
        <w:color w:val="001C74" w:themeColor="accent1" w:themeShade="95"/>
      </w:rPr>
      <w:tblPr/>
      <w:tcPr>
        <w:tcBorders>
          <w:bottom w:val="single" w:sz="4" w:space="0" w:color="0032C8" w:themeColor="accent1"/>
        </w:tcBorders>
      </w:tcPr>
    </w:tblStylePr>
    <w:tblStylePr w:type="lastRow">
      <w:rPr>
        <w:b/>
        <w:color w:val="001C74" w:themeColor="accent1" w:themeShade="95"/>
      </w:rPr>
      <w:tblPr/>
      <w:tcPr>
        <w:tcBorders>
          <w:top w:val="single" w:sz="4" w:space="0" w:color="0032C8" w:themeColor="accent1"/>
        </w:tcBorders>
      </w:tcPr>
    </w:tblStylePr>
    <w:tblStylePr w:type="firstCol">
      <w:rPr>
        <w:b/>
        <w:color w:val="001C74" w:themeColor="accent1" w:themeShade="95"/>
      </w:rPr>
    </w:tblStylePr>
    <w:tblStylePr w:type="lastCol">
      <w:rPr>
        <w:b/>
        <w:color w:val="001C74" w:themeColor="accent1" w:themeShade="95"/>
      </w:r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68A3FF" w:themeColor="accent2" w:themeTint="97"/>
        <w:bottom w:val="single" w:sz="4" w:space="0" w:color="68A3FF" w:themeColor="accent2" w:themeTint="97"/>
      </w:tblBorders>
    </w:tblPr>
    <w:tblStylePr w:type="firstRow">
      <w:rPr>
        <w:b/>
        <w:color w:val="68A3FF" w:themeColor="accent2" w:themeTint="97" w:themeShade="95"/>
      </w:rPr>
      <w:tblPr/>
      <w:tcPr>
        <w:tcBorders>
          <w:bottom w:val="single" w:sz="4" w:space="0" w:color="68A3FF" w:themeColor="accent2" w:themeTint="97"/>
        </w:tcBorders>
      </w:tcPr>
    </w:tblStylePr>
    <w:tblStylePr w:type="lastRow">
      <w:rPr>
        <w:b/>
        <w:color w:val="68A3FF" w:themeColor="accent2" w:themeTint="97" w:themeShade="95"/>
      </w:rPr>
      <w:tblPr/>
      <w:tcPr>
        <w:tcBorders>
          <w:top w:val="single" w:sz="4" w:space="0" w:color="68A3FF" w:themeColor="accent2" w:themeTint="97"/>
        </w:tcBorders>
      </w:tc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FFF384" w:themeColor="accent3" w:themeTint="98"/>
        <w:bottom w:val="single" w:sz="4" w:space="0" w:color="FFF384" w:themeColor="accent3" w:themeTint="98"/>
      </w:tblBorders>
    </w:tblPr>
    <w:tblStylePr w:type="firstRow">
      <w:rPr>
        <w:b/>
        <w:color w:val="FFF384" w:themeColor="accent3" w:themeTint="98" w:themeShade="95"/>
      </w:rPr>
      <w:tblPr/>
      <w:tcPr>
        <w:tcBorders>
          <w:bottom w:val="single" w:sz="4" w:space="0" w:color="FFF384" w:themeColor="accent3" w:themeTint="98"/>
        </w:tcBorders>
      </w:tcPr>
    </w:tblStylePr>
    <w:tblStylePr w:type="lastRow">
      <w:rPr>
        <w:b/>
        <w:color w:val="FFF384" w:themeColor="accent3" w:themeTint="98" w:themeShade="95"/>
      </w:rPr>
      <w:tblPr/>
      <w:tcPr>
        <w:tcBorders>
          <w:top w:val="single" w:sz="4" w:space="0" w:color="FFF384" w:themeColor="accent3" w:themeTint="98"/>
        </w:tcBorders>
      </w:tcPr>
    </w:tblStylePr>
    <w:tblStylePr w:type="firstCol">
      <w:rPr>
        <w:b/>
        <w:color w:val="FFF384" w:themeColor="accent3" w:themeTint="98" w:themeShade="95"/>
      </w:rPr>
    </w:tblStylePr>
    <w:tblStylePr w:type="lastCol">
      <w:rPr>
        <w:b/>
        <w:color w:val="FFF384" w:themeColor="accent3" w:themeTint="98" w:themeShade="95"/>
      </w:r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0032C8" w:themeColor="accent1"/>
      </w:tblBorders>
    </w:tblPr>
    <w:tblStylePr w:type="firstRow">
      <w:rPr>
        <w:rFonts w:ascii="Arial" w:hAnsi="Arial"/>
        <w:i/>
        <w:color w:val="001C74" w:themeColor="accent1" w:themeShade="95"/>
        <w:sz w:val="22"/>
      </w:rPr>
      <w:tblPr/>
      <w:tcPr>
        <w:tcBorders>
          <w:top w:val="none" w:sz="0" w:space="0" w:color="000000"/>
          <w:left w:val="none" w:sz="0" w:space="0" w:color="000000"/>
          <w:bottom w:val="single" w:sz="4" w:space="0" w:color="0032C8" w:themeColor="accent1"/>
          <w:right w:val="none" w:sz="0" w:space="0" w:color="000000"/>
        </w:tcBorders>
        <w:shd w:val="clear" w:color="FFFFFF" w:themeColor="light1" w:fill="FFFFFF" w:themeFill="light1"/>
      </w:tcPr>
    </w:tblStylePr>
    <w:tblStylePr w:type="lastRow">
      <w:rPr>
        <w:rFonts w:ascii="Arial" w:hAnsi="Arial"/>
        <w:i/>
        <w:color w:val="001C74" w:themeColor="accent1" w:themeShade="95"/>
        <w:sz w:val="22"/>
      </w:rPr>
      <w:tblPr/>
      <w:tcPr>
        <w:tcBorders>
          <w:top w:val="single" w:sz="4" w:space="0" w:color="0032C8"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01C74" w:themeColor="accent1" w:themeShade="95"/>
        <w:sz w:val="22"/>
      </w:rPr>
      <w:tblPr/>
      <w:tcPr>
        <w:tcBorders>
          <w:top w:val="none" w:sz="0" w:space="0" w:color="000000"/>
          <w:left w:val="none" w:sz="0" w:space="0" w:color="000000"/>
          <w:bottom w:val="none" w:sz="0" w:space="0" w:color="000000"/>
          <w:right w:val="single" w:sz="4" w:space="0" w:color="0032C8" w:themeColor="accent1"/>
        </w:tcBorders>
        <w:shd w:val="clear" w:color="FFFFFF" w:fill="auto"/>
      </w:tcPr>
    </w:tblStylePr>
    <w:tblStylePr w:type="lastCol">
      <w:rPr>
        <w:rFonts w:ascii="Arial" w:hAnsi="Arial"/>
        <w:i/>
        <w:color w:val="001C74" w:themeColor="accent1" w:themeShade="95"/>
        <w:sz w:val="22"/>
      </w:rPr>
      <w:tblPr/>
      <w:tcPr>
        <w:tcBorders>
          <w:top w:val="none" w:sz="0" w:space="0" w:color="000000"/>
          <w:left w:val="single" w:sz="4" w:space="0" w:color="0032C8" w:themeColor="accent1"/>
          <w:bottom w:val="none" w:sz="0" w:space="0" w:color="000000"/>
          <w:right w:val="none" w:sz="0" w:space="0" w:color="000000"/>
        </w:tcBorders>
        <w:shd w:val="clear" w:color="FFFFFF" w:fill="auto"/>
      </w:tc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68A3FF" w:themeColor="accent2" w:themeTint="97"/>
      </w:tblBorders>
    </w:tblPr>
    <w:tblStylePr w:type="firstRow">
      <w:rPr>
        <w:rFonts w:ascii="Arial" w:hAnsi="Arial"/>
        <w:i/>
        <w:color w:val="68A3FF" w:themeColor="accent2" w:themeTint="97" w:themeShade="95"/>
        <w:sz w:val="22"/>
      </w:rPr>
      <w:tblPr/>
      <w:tcPr>
        <w:tcBorders>
          <w:top w:val="none" w:sz="0" w:space="0" w:color="000000"/>
          <w:left w:val="none" w:sz="0" w:space="0" w:color="000000"/>
          <w:bottom w:val="single" w:sz="4" w:space="0" w:color="68A3FF" w:themeColor="accent2" w:themeTint="97"/>
          <w:right w:val="none" w:sz="0" w:space="0" w:color="000000"/>
        </w:tcBorders>
        <w:shd w:val="clear" w:color="FFFFFF" w:themeColor="light1" w:fill="FFFFFF" w:themeFill="light1"/>
      </w:tcPr>
    </w:tblStylePr>
    <w:tblStylePr w:type="lastRow">
      <w:rPr>
        <w:rFonts w:ascii="Arial" w:hAnsi="Arial"/>
        <w:i/>
        <w:color w:val="68A3FF" w:themeColor="accent2" w:themeTint="97" w:themeShade="95"/>
        <w:sz w:val="22"/>
      </w:rPr>
      <w:tblPr/>
      <w:tcPr>
        <w:tcBorders>
          <w:top w:val="single" w:sz="4" w:space="0" w:color="68A3FF"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0" w:space="0" w:color="000000"/>
          <w:left w:val="none" w:sz="0" w:space="0" w:color="000000"/>
          <w:bottom w:val="none" w:sz="0"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0" w:space="0" w:color="000000"/>
          <w:left w:val="single" w:sz="4" w:space="0" w:color="68A3FF" w:themeColor="accent2" w:themeTint="97"/>
          <w:bottom w:val="none" w:sz="0" w:space="0" w:color="000000"/>
          <w:right w:val="none" w:sz="0" w:space="0" w:color="000000"/>
        </w:tcBorders>
        <w:shd w:val="clear" w:color="FFFFFF" w:fill="auto"/>
      </w:tc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FFF384" w:themeColor="accent3" w:themeTint="98"/>
      </w:tblBorders>
    </w:tblPr>
    <w:tblStylePr w:type="firstRow">
      <w:rPr>
        <w:rFonts w:ascii="Arial" w:hAnsi="Arial"/>
        <w:i/>
        <w:color w:val="FFF384" w:themeColor="accent3" w:themeTint="98" w:themeShade="95"/>
        <w:sz w:val="22"/>
      </w:rPr>
      <w:tblPr/>
      <w:tcPr>
        <w:tcBorders>
          <w:top w:val="none" w:sz="0" w:space="0" w:color="000000"/>
          <w:left w:val="none" w:sz="0" w:space="0" w:color="000000"/>
          <w:bottom w:val="single" w:sz="4" w:space="0" w:color="FFF384" w:themeColor="accent3" w:themeTint="98"/>
          <w:right w:val="none" w:sz="0" w:space="0" w:color="000000"/>
        </w:tcBorders>
        <w:shd w:val="clear" w:color="FFFFFF" w:themeColor="light1" w:fill="FFFFFF" w:themeFill="light1"/>
      </w:tcPr>
    </w:tblStylePr>
    <w:tblStylePr w:type="lastRow">
      <w:rPr>
        <w:rFonts w:ascii="Arial" w:hAnsi="Arial"/>
        <w:i/>
        <w:color w:val="FFF384" w:themeColor="accent3" w:themeTint="98" w:themeShade="95"/>
        <w:sz w:val="22"/>
      </w:rPr>
      <w:tblPr/>
      <w:tcPr>
        <w:tcBorders>
          <w:top w:val="single" w:sz="4" w:space="0" w:color="FFF384"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F384" w:themeColor="accent3" w:themeTint="98" w:themeShade="95"/>
        <w:sz w:val="22"/>
      </w:rPr>
      <w:tblPr/>
      <w:tcPr>
        <w:tcBorders>
          <w:top w:val="none" w:sz="0" w:space="0" w:color="000000"/>
          <w:left w:val="none" w:sz="0" w:space="0" w:color="000000"/>
          <w:bottom w:val="none" w:sz="0" w:space="0" w:color="000000"/>
          <w:right w:val="single" w:sz="4" w:space="0" w:color="FFF384" w:themeColor="accent3" w:themeTint="98"/>
        </w:tcBorders>
        <w:shd w:val="clear" w:color="FFFFFF" w:fill="auto"/>
      </w:tcPr>
    </w:tblStylePr>
    <w:tblStylePr w:type="lastCol">
      <w:rPr>
        <w:rFonts w:ascii="Arial" w:hAnsi="Arial"/>
        <w:i/>
        <w:color w:val="FFF384" w:themeColor="accent3" w:themeTint="98" w:themeShade="95"/>
        <w:sz w:val="22"/>
      </w:rPr>
      <w:tblPr/>
      <w:tcPr>
        <w:tcBorders>
          <w:top w:val="none" w:sz="0" w:space="0" w:color="000000"/>
          <w:left w:val="single" w:sz="4" w:space="0" w:color="FFF384" w:themeColor="accent3" w:themeTint="98"/>
          <w:bottom w:val="none" w:sz="0" w:space="0" w:color="000000"/>
          <w:right w:val="none" w:sz="0" w:space="0" w:color="000000"/>
        </w:tcBorders>
        <w:shd w:val="clear" w:color="FFFFFF" w:fill="auto"/>
      </w:tc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1C74" w:themeColor="accent1" w:themeShade="95"/>
        <w:left w:val="single" w:sz="4" w:space="0" w:color="001C74" w:themeColor="accent1" w:themeShade="95"/>
        <w:bottom w:val="single" w:sz="4" w:space="0" w:color="001C74" w:themeColor="accent1" w:themeShade="95"/>
        <w:right w:val="single" w:sz="4" w:space="0" w:color="001C74" w:themeColor="accent1" w:themeShade="95"/>
        <w:insideH w:val="single" w:sz="4" w:space="0" w:color="001C74" w:themeColor="accent1" w:themeShade="95"/>
        <w:insideV w:val="single" w:sz="4" w:space="0" w:color="001C74" w:themeColor="accent1" w:themeShade="95"/>
      </w:tblBorders>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3A95" w:themeColor="accent2" w:themeShade="95"/>
        <w:left w:val="single" w:sz="4" w:space="0" w:color="003A95" w:themeColor="accent2" w:themeShade="95"/>
        <w:bottom w:val="single" w:sz="4" w:space="0" w:color="003A95" w:themeColor="accent2" w:themeShade="95"/>
        <w:right w:val="single" w:sz="4" w:space="0" w:color="003A95" w:themeColor="accent2" w:themeShade="95"/>
        <w:insideH w:val="single" w:sz="4" w:space="0" w:color="003A95" w:themeColor="accent2" w:themeShade="95"/>
        <w:insideV w:val="single" w:sz="4" w:space="0" w:color="003A95" w:themeColor="accent2" w:themeShade="95"/>
      </w:tblBorders>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B2A000" w:themeColor="accent3" w:themeShade="95"/>
        <w:left w:val="single" w:sz="4" w:space="0" w:color="B2A000" w:themeColor="accent3" w:themeShade="95"/>
        <w:bottom w:val="single" w:sz="4" w:space="0" w:color="B2A000" w:themeColor="accent3" w:themeShade="95"/>
        <w:right w:val="single" w:sz="4" w:space="0" w:color="B2A000" w:themeColor="accent3" w:themeShade="95"/>
        <w:insideH w:val="single" w:sz="4" w:space="0" w:color="B2A000" w:themeColor="accent3" w:themeShade="95"/>
        <w:insideV w:val="single" w:sz="4" w:space="0" w:color="B2A000" w:themeColor="accent3" w:themeShade="95"/>
      </w:tblBorders>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rFonts w:ascii="Arial" w:hAnsi="Arial"/>
        <w:color w:val="404040"/>
        <w:sz w:val="22"/>
      </w:rPr>
      <w:tblPr/>
      <w:tcPr>
        <w:tcBorders>
          <w:bottom w:val="single" w:sz="12" w:space="0" w:color="0032C8" w:themeColor="accent1"/>
        </w:tcBorders>
      </w:tcPr>
    </w:tblStylePr>
    <w:tblStylePr w:type="lastRow">
      <w:rPr>
        <w:rFonts w:ascii="Arial" w:hAnsi="Arial"/>
        <w:color w:val="404040"/>
        <w:sz w:val="22"/>
      </w:rPr>
      <w:tblPr/>
      <w:tcPr>
        <w:tcBorders>
          <w:top w:val="single" w:sz="12" w:space="0" w:color="0032C8"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32C8" w:themeColor="accent1"/>
        </w:tcBorders>
      </w:tc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rFonts w:ascii="Arial" w:hAnsi="Arial"/>
        <w:color w:val="404040"/>
        <w:sz w:val="22"/>
      </w:rPr>
      <w:tblPr/>
      <w:tcPr>
        <w:tcBorders>
          <w:bottom w:val="single" w:sz="12" w:space="0" w:color="68A3FF" w:themeColor="accent2" w:themeTint="97"/>
        </w:tcBorders>
      </w:tcPr>
    </w:tblStylePr>
    <w:tblStylePr w:type="lastRow">
      <w:rPr>
        <w:rFonts w:ascii="Arial" w:hAnsi="Arial"/>
        <w:color w:val="404040"/>
        <w:sz w:val="22"/>
      </w:rPr>
      <w:tblPr/>
      <w:tcPr>
        <w:tcBorders>
          <w:top w:val="single" w:sz="12" w:space="0" w:color="68A3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A3FF" w:themeColor="accent2" w:themeTint="97"/>
        </w:tcBorders>
      </w:tc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rFonts w:ascii="Arial" w:hAnsi="Arial"/>
        <w:color w:val="404040"/>
        <w:sz w:val="22"/>
      </w:rPr>
      <w:tblPr/>
      <w:tcPr>
        <w:tcBorders>
          <w:bottom w:val="single" w:sz="12" w:space="0" w:color="FFF384" w:themeColor="accent3" w:themeTint="98"/>
        </w:tcBorders>
      </w:tcPr>
    </w:tblStylePr>
    <w:tblStylePr w:type="lastRow">
      <w:rPr>
        <w:rFonts w:ascii="Arial" w:hAnsi="Arial"/>
        <w:color w:val="404040"/>
        <w:sz w:val="22"/>
      </w:rPr>
      <w:tblPr/>
      <w:tcPr>
        <w:tcBorders>
          <w:top w:val="single" w:sz="12" w:space="0" w:color="FFF38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384" w:themeColor="accent3" w:themeTint="98"/>
        </w:tcBorders>
      </w:tc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002495" w:themeColor="accent1" w:themeShade="BF"/>
      <w:sz w:val="40"/>
      <w:szCs w:val="40"/>
    </w:rPr>
  </w:style>
  <w:style w:type="character" w:customStyle="1" w:styleId="Heading2Char">
    <w:name w:val="Heading 2 Char"/>
    <w:basedOn w:val="Policepardfaut"/>
    <w:uiPriority w:val="9"/>
    <w:rPr>
      <w:rFonts w:ascii="Arial" w:eastAsia="Arial" w:hAnsi="Arial" w:cs="Arial"/>
      <w:color w:val="002495" w:themeColor="accent1" w:themeShade="BF"/>
      <w:sz w:val="32"/>
      <w:szCs w:val="32"/>
    </w:rPr>
  </w:style>
  <w:style w:type="character" w:customStyle="1" w:styleId="Heading3Char">
    <w:name w:val="Heading 3 Char"/>
    <w:basedOn w:val="Policepardfaut"/>
    <w:uiPriority w:val="9"/>
    <w:rPr>
      <w:rFonts w:ascii="Arial" w:eastAsia="Arial" w:hAnsi="Arial" w:cs="Arial"/>
      <w:color w:val="00249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002495" w:themeColor="accent1" w:themeShade="BF"/>
    </w:rPr>
  </w:style>
  <w:style w:type="character" w:customStyle="1" w:styleId="Titre5Car">
    <w:name w:val="Titre 5 Car"/>
    <w:basedOn w:val="Policepardfaut"/>
    <w:link w:val="Titre5"/>
    <w:uiPriority w:val="9"/>
    <w:rPr>
      <w:rFonts w:ascii="Arial" w:eastAsia="Arial" w:hAnsi="Arial" w:cs="Arial"/>
      <w:color w:val="00249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002495" w:themeColor="accent1" w:themeShade="BF"/>
    </w:rPr>
  </w:style>
  <w:style w:type="paragraph" w:styleId="Citationintense">
    <w:name w:val="Intense Quote"/>
    <w:basedOn w:val="Normal"/>
    <w:next w:val="Normal"/>
    <w:link w:val="CitationintenseCar"/>
    <w:uiPriority w:val="30"/>
    <w:qFormat/>
    <w:pPr>
      <w:pBdr>
        <w:top w:val="single" w:sz="4" w:space="10" w:color="002495" w:themeColor="accent1" w:themeShade="BF"/>
        <w:bottom w:val="single" w:sz="4" w:space="10" w:color="002495" w:themeColor="accent1" w:themeShade="BF"/>
      </w:pBdr>
      <w:spacing w:before="360" w:after="360"/>
      <w:ind w:left="864" w:right="864"/>
      <w:jc w:val="center"/>
    </w:pPr>
    <w:rPr>
      <w:i/>
      <w:iCs/>
      <w:color w:val="002495" w:themeColor="accent1" w:themeShade="BF"/>
    </w:rPr>
  </w:style>
  <w:style w:type="character" w:customStyle="1" w:styleId="CitationintenseCar">
    <w:name w:val="Citation intense Car"/>
    <w:basedOn w:val="Policepardfaut"/>
    <w:link w:val="Citationintense"/>
    <w:uiPriority w:val="30"/>
    <w:rPr>
      <w:i/>
      <w:iCs/>
      <w:color w:val="002495" w:themeColor="accent1" w:themeShade="BF"/>
    </w:rPr>
  </w:style>
  <w:style w:type="character" w:styleId="Rfrenceintense">
    <w:name w:val="Intense Reference"/>
    <w:basedOn w:val="Policepardfaut"/>
    <w:uiPriority w:val="32"/>
    <w:qFormat/>
    <w:rPr>
      <w:b/>
      <w:bCs/>
      <w:smallCaps/>
      <w:color w:val="002495" w:themeColor="accent1" w:themeShade="BF"/>
      <w:spacing w:val="5"/>
    </w:rPr>
  </w:style>
  <w:style w:type="paragraph" w:styleId="Sansinterligne">
    <w:name w:val="No Spacing"/>
    <w:basedOn w:val="Normal"/>
    <w:uiPriority w:val="1"/>
    <w:qFormat/>
    <w:pPr>
      <w:spacing w:after="0" w:line="240" w:lineRule="auto"/>
    </w:pPr>
  </w:style>
  <w:style w:type="character" w:styleId="Accentuation">
    <w:name w:val="Emphasis"/>
    <w:basedOn w:val="Policepardfaut"/>
    <w:uiPriority w:val="20"/>
    <w:qFormat/>
    <w:rPr>
      <w:i/>
      <w:i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abledesillustrations">
    <w:name w:val="table of figures"/>
    <w:basedOn w:val="Normal"/>
    <w:next w:val="Normal"/>
    <w:uiPriority w:val="99"/>
    <w:unhideWhenUsed/>
    <w:pPr>
      <w:spacing w:after="0"/>
    </w:pPr>
  </w:style>
  <w:style w:type="paragraph" w:customStyle="1" w:styleId="ChampAdresse">
    <w:name w:val="Champ Adresse"/>
    <w:basedOn w:val="Normal"/>
    <w:link w:val="ChampAdresseCar"/>
    <w:pPr>
      <w:spacing w:after="40" w:line="240" w:lineRule="auto"/>
      <w:ind w:left="1985"/>
    </w:pPr>
    <w:rPr>
      <w:sz w:val="20"/>
    </w:rPr>
  </w:style>
  <w:style w:type="character" w:customStyle="1" w:styleId="ChampAdresseCar">
    <w:name w:val="Champ Adresse Car"/>
    <w:basedOn w:val="Policepardfaut"/>
    <w:link w:val="ChampAdresse"/>
    <w:rPr>
      <w:sz w:val="20"/>
    </w:rPr>
  </w:style>
  <w:style w:type="paragraph" w:customStyle="1" w:styleId="ChampDateVille">
    <w:name w:val="Champ Date Ville"/>
    <w:basedOn w:val="ChampAdresse"/>
    <w:link w:val="ChampDateVilleCar"/>
    <w:pPr>
      <w:spacing w:before="40"/>
      <w:ind w:left="0"/>
    </w:pPr>
  </w:style>
  <w:style w:type="character" w:customStyle="1" w:styleId="ChampDateVilleCar">
    <w:name w:val="Champ Date Ville Car"/>
    <w:basedOn w:val="ChampAdresseCar"/>
    <w:link w:val="ChampDateVille"/>
    <w:rPr>
      <w:sz w:val="20"/>
    </w:rPr>
  </w:style>
  <w:style w:type="paragraph" w:customStyle="1" w:styleId="ChampObjet">
    <w:name w:val="Champ Objet"/>
    <w:basedOn w:val="ChampDateVille"/>
    <w:link w:val="ChampObjetCar"/>
    <w:pPr>
      <w:spacing w:before="0"/>
    </w:pPr>
  </w:style>
  <w:style w:type="character" w:customStyle="1" w:styleId="ChampObjetCar">
    <w:name w:val="Champ Objet Car"/>
    <w:basedOn w:val="ChampDateVilleCar"/>
    <w:link w:val="ChampObjet"/>
    <w:rPr>
      <w:sz w:val="20"/>
    </w:rPr>
  </w:style>
  <w:style w:type="paragraph" w:customStyle="1" w:styleId="ChampRfrence">
    <w:name w:val="Champ Référence"/>
    <w:basedOn w:val="ChampObjet"/>
    <w:link w:val="ChampRfrenceCar"/>
    <w:pPr>
      <w:spacing w:after="240"/>
    </w:pPr>
  </w:style>
  <w:style w:type="character" w:customStyle="1" w:styleId="ChampRfrenceCar">
    <w:name w:val="Champ Référence Car"/>
    <w:basedOn w:val="ChampObjetCar"/>
    <w:link w:val="ChampRfrence"/>
    <w:rPr>
      <w:sz w:val="20"/>
    </w:rPr>
  </w:style>
  <w:style w:type="paragraph" w:customStyle="1" w:styleId="Tableau">
    <w:name w:val="Tableau"/>
    <w:basedOn w:val="ChampRfrence"/>
    <w:link w:val="TableauCar"/>
    <w:qFormat/>
    <w:pPr>
      <w:spacing w:after="0" w:line="260" w:lineRule="exact"/>
    </w:pPr>
  </w:style>
  <w:style w:type="character" w:customStyle="1" w:styleId="TableauCar">
    <w:name w:val="Tableau Car"/>
    <w:basedOn w:val="ChampRfrenceCar"/>
    <w:link w:val="Tableau"/>
    <w:rPr>
      <w:sz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qFormat/>
    <w:pPr>
      <w:tabs>
        <w:tab w:val="center" w:pos="4536"/>
        <w:tab w:val="right" w:pos="9072"/>
      </w:tabs>
      <w:spacing w:after="0" w:line="240" w:lineRule="auto"/>
    </w:pPr>
    <w:rPr>
      <w:color w:val="0032C8" w:themeColor="accent1"/>
      <w:sz w:val="16"/>
    </w:rPr>
  </w:style>
  <w:style w:type="character" w:customStyle="1" w:styleId="PieddepageCar">
    <w:name w:val="Pied de page Car"/>
    <w:basedOn w:val="Policepardfaut"/>
    <w:link w:val="Pieddepage"/>
    <w:uiPriority w:val="99"/>
    <w:rPr>
      <w:color w:val="0032C8" w:themeColor="accent1"/>
      <w:sz w:val="16"/>
    </w:rPr>
  </w:style>
  <w:style w:type="paragraph" w:customStyle="1" w:styleId="AdresseIFREMER">
    <w:name w:val="Adresse IFREMER"/>
    <w:basedOn w:val="Tableau"/>
    <w:link w:val="AdresseIFREMERCar"/>
    <w:pPr>
      <w:spacing w:after="120" w:line="180" w:lineRule="exact"/>
    </w:pPr>
    <w:rPr>
      <w:color w:val="0032C8" w:themeColor="accent1"/>
      <w:sz w:val="15"/>
    </w:rPr>
  </w:style>
  <w:style w:type="character" w:customStyle="1" w:styleId="AdresseIFREMERCar">
    <w:name w:val="Adresse IFREMER Car"/>
    <w:basedOn w:val="TableauCar"/>
    <w:link w:val="AdresseIFREMER"/>
    <w:rPr>
      <w:color w:val="0032C8" w:themeColor="accent1"/>
      <w:sz w:val="15"/>
    </w:rPr>
  </w:style>
  <w:style w:type="paragraph" w:customStyle="1" w:styleId="1noteinterne">
    <w:name w:val="1 note interne"/>
    <w:basedOn w:val="ChampDateVille"/>
    <w:link w:val="1noteinterneCar"/>
    <w:pPr>
      <w:spacing w:after="360"/>
      <w:contextualSpacing/>
    </w:pPr>
    <w:rPr>
      <w:color w:val="0064FF" w:themeColor="accent2"/>
      <w:sz w:val="56"/>
    </w:rPr>
  </w:style>
  <w:style w:type="character" w:customStyle="1" w:styleId="1noteinterneCar">
    <w:name w:val="1 note interne Car"/>
    <w:basedOn w:val="ChampDateVilleCar"/>
    <w:link w:val="1noteinterne"/>
    <w:rPr>
      <w:color w:val="0064FF" w:themeColor="accent2"/>
      <w:sz w:val="56"/>
    </w:rPr>
  </w:style>
  <w:style w:type="paragraph" w:customStyle="1" w:styleId="2Encadr">
    <w:name w:val="2 Encadré"/>
    <w:basedOn w:val="ChampRfrence"/>
    <w:link w:val="2EncadrCar"/>
    <w:pPr>
      <w:pBdr>
        <w:top w:val="single" w:sz="4" w:space="4" w:color="0032C8" w:themeColor="accent1"/>
        <w:bottom w:val="single" w:sz="4" w:space="4" w:color="0032C8" w:themeColor="accent1"/>
      </w:pBdr>
      <w:spacing w:before="120" w:after="120"/>
    </w:pPr>
  </w:style>
  <w:style w:type="character" w:customStyle="1" w:styleId="2EncadrCar">
    <w:name w:val="2 Encadré Car"/>
    <w:basedOn w:val="ChampRfrenceCar"/>
    <w:link w:val="2Encadr"/>
    <w:rPr>
      <w:sz w:val="20"/>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uiPriority w:val="10"/>
    <w:qFormat/>
    <w:pPr>
      <w:spacing w:before="2500" w:after="0" w:line="240" w:lineRule="auto"/>
      <w:contextualSpacing/>
    </w:pPr>
    <w:rPr>
      <w:rFonts w:eastAsiaTheme="majorEastAsia" w:cstheme="majorBidi"/>
      <w:color w:val="0032C8" w:themeColor="accent1"/>
      <w:spacing w:val="-10"/>
      <w:sz w:val="90"/>
      <w:szCs w:val="56"/>
    </w:rPr>
  </w:style>
  <w:style w:type="character" w:customStyle="1" w:styleId="TitreCar">
    <w:name w:val="Titre Car"/>
    <w:basedOn w:val="Policepardfaut"/>
    <w:link w:val="Titre"/>
    <w:uiPriority w:val="10"/>
    <w:rPr>
      <w:rFonts w:eastAsiaTheme="majorEastAsia" w:cstheme="majorBidi"/>
      <w:color w:val="0032C8" w:themeColor="accent1"/>
      <w:spacing w:val="-10"/>
      <w:sz w:val="90"/>
      <w:szCs w:val="56"/>
    </w:rPr>
  </w:style>
  <w:style w:type="paragraph" w:styleId="Sous-titre">
    <w:name w:val="Subtitle"/>
    <w:basedOn w:val="Normal"/>
    <w:next w:val="Normal"/>
    <w:link w:val="Sous-titreCar"/>
    <w:uiPriority w:val="11"/>
    <w:qFormat/>
    <w:pPr>
      <w:numPr>
        <w:ilvl w:val="1"/>
      </w:numPr>
      <w:spacing w:before="360" w:line="240" w:lineRule="auto"/>
      <w:ind w:left="284"/>
      <w:contextualSpacing/>
    </w:pPr>
    <w:rPr>
      <w:rFonts w:eastAsiaTheme="minorEastAsia"/>
      <w:color w:val="FFFFFF" w:themeColor="background1"/>
      <w:spacing w:val="15"/>
      <w:sz w:val="60"/>
    </w:rPr>
  </w:style>
  <w:style w:type="character" w:customStyle="1" w:styleId="Sous-titreCar">
    <w:name w:val="Sous-titre Car"/>
    <w:basedOn w:val="Policepardfaut"/>
    <w:link w:val="Sous-titre"/>
    <w:uiPriority w:val="11"/>
    <w:rPr>
      <w:rFonts w:eastAsiaTheme="minorEastAsia"/>
      <w:color w:val="FFFFFF" w:themeColor="background1"/>
      <w:spacing w:val="15"/>
      <w:sz w:val="60"/>
    </w:rPr>
  </w:style>
  <w:style w:type="character" w:customStyle="1" w:styleId="Titre1Car">
    <w:name w:val="Titre 1 Car"/>
    <w:basedOn w:val="Policepardfaut"/>
    <w:link w:val="Titre1"/>
    <w:uiPriority w:val="9"/>
    <w:rPr>
      <w:rFonts w:asciiTheme="majorHAnsi" w:eastAsiaTheme="majorEastAsia" w:hAnsiTheme="majorHAnsi" w:cstheme="majorBidi"/>
      <w:b/>
      <w:color w:val="0032C8" w:themeColor="accent1"/>
      <w:sz w:val="32"/>
      <w:szCs w:val="32"/>
    </w:rPr>
  </w:style>
  <w:style w:type="character" w:customStyle="1" w:styleId="Titre2Car">
    <w:name w:val="Titre 2 Car"/>
    <w:basedOn w:val="Policepardfaut"/>
    <w:link w:val="Titre2"/>
    <w:uiPriority w:val="9"/>
    <w:rPr>
      <w:rFonts w:asciiTheme="majorHAnsi" w:eastAsiaTheme="majorEastAsia" w:hAnsiTheme="majorHAnsi" w:cstheme="majorBidi"/>
      <w:color w:val="0032C8" w:themeColor="accent1"/>
      <w:sz w:val="28"/>
      <w:szCs w:val="26"/>
    </w:rPr>
  </w:style>
  <w:style w:type="character" w:customStyle="1" w:styleId="Titre3Car">
    <w:name w:val="Titre 3 Car"/>
    <w:basedOn w:val="Policepardfaut"/>
    <w:link w:val="Titre3"/>
    <w:uiPriority w:val="9"/>
    <w:rPr>
      <w:rFonts w:asciiTheme="majorHAnsi" w:eastAsiaTheme="majorEastAsia" w:hAnsiTheme="majorHAnsi" w:cstheme="majorBidi"/>
      <w:b/>
      <w:color w:val="000000" w:themeColor="text1"/>
      <w:szCs w:val="24"/>
    </w:rPr>
  </w:style>
  <w:style w:type="paragraph" w:styleId="Paragraphedeliste">
    <w:name w:val="List Paragraph"/>
    <w:basedOn w:val="Normal"/>
    <w:link w:val="ParagraphedelisteCar"/>
    <w:uiPriority w:val="34"/>
    <w:qFormat/>
    <w:pPr>
      <w:ind w:left="720"/>
      <w:contextualSpacing/>
    </w:pPr>
  </w:style>
  <w:style w:type="character" w:styleId="Emphaseple">
    <w:name w:val="Subtle Emphasis"/>
    <w:basedOn w:val="Policepardfaut"/>
    <w:uiPriority w:val="19"/>
    <w:qFormat/>
    <w:rPr>
      <w:i w:val="0"/>
      <w:iCs/>
      <w:color w:val="0032C8" w:themeColor="accent1"/>
    </w:rPr>
  </w:style>
  <w:style w:type="paragraph" w:customStyle="1" w:styleId="Exergue">
    <w:name w:val="Exergue"/>
    <w:basedOn w:val="Normal"/>
    <w:link w:val="ExergueCar"/>
    <w:qFormat/>
    <w:pPr>
      <w:pBdr>
        <w:left w:val="single" w:sz="12" w:space="6" w:color="0032C8" w:themeColor="accent1"/>
      </w:pBdr>
      <w:ind w:left="567"/>
    </w:pPr>
    <w:rPr>
      <w:color w:val="0032C8" w:themeColor="accent1"/>
    </w:rPr>
  </w:style>
  <w:style w:type="character" w:customStyle="1" w:styleId="ExergueCar">
    <w:name w:val="Exergue Car"/>
    <w:basedOn w:val="Policepardfaut"/>
    <w:link w:val="Exergue"/>
    <w:rPr>
      <w:color w:val="0032C8" w:themeColor="accent1"/>
    </w:rPr>
  </w:style>
  <w:style w:type="paragraph" w:customStyle="1" w:styleId="Puceniveau1">
    <w:name w:val="Puce niveau 1"/>
    <w:basedOn w:val="Normal"/>
    <w:link w:val="Puceniveau1Car"/>
    <w:qFormat/>
    <w:pPr>
      <w:numPr>
        <w:numId w:val="2"/>
      </w:numPr>
      <w:spacing w:line="240" w:lineRule="auto"/>
      <w:ind w:left="714" w:hanging="357"/>
    </w:pPr>
  </w:style>
  <w:style w:type="character" w:customStyle="1" w:styleId="Puceniveau1Car">
    <w:name w:val="Puce niveau 1 Car"/>
    <w:basedOn w:val="Policepardfaut"/>
    <w:link w:val="Puceniveau1"/>
  </w:style>
  <w:style w:type="paragraph" w:customStyle="1" w:styleId="Puceniveau2">
    <w:name w:val="Puce niveau 2"/>
    <w:basedOn w:val="Normal"/>
    <w:link w:val="Puceniveau2Car"/>
    <w:qFormat/>
    <w:pPr>
      <w:numPr>
        <w:numId w:val="3"/>
      </w:numPr>
      <w:ind w:left="1208" w:hanging="357"/>
    </w:pPr>
  </w:style>
  <w:style w:type="character" w:customStyle="1" w:styleId="Puceniveau2Car">
    <w:name w:val="Puce niveau 2 Car"/>
    <w:basedOn w:val="Policepardfaut"/>
    <w:link w:val="Puceniveau2"/>
  </w:style>
  <w:style w:type="paragraph" w:customStyle="1" w:styleId="Lgendeimage">
    <w:name w:val="Légende image"/>
    <w:basedOn w:val="Normal"/>
    <w:link w:val="LgendeimageCar"/>
    <w:qFormat/>
    <w:pPr>
      <w:spacing w:before="160" w:after="320"/>
    </w:pPr>
    <w:rPr>
      <w:sz w:val="20"/>
    </w:rPr>
  </w:style>
  <w:style w:type="character" w:customStyle="1" w:styleId="LgendeimageCar">
    <w:name w:val="Légende image Car"/>
    <w:basedOn w:val="Policepardfaut"/>
    <w:link w:val="Lgendeimage"/>
    <w:rPr>
      <w:sz w:val="20"/>
    </w:rPr>
  </w:style>
  <w:style w:type="paragraph" w:styleId="TM1">
    <w:name w:val="toc 1"/>
    <w:basedOn w:val="Normal"/>
    <w:next w:val="Normal"/>
    <w:uiPriority w:val="39"/>
    <w:unhideWhenUsed/>
    <w:pPr>
      <w:spacing w:before="240" w:after="120"/>
      <w:ind w:left="284" w:right="284" w:hanging="284"/>
    </w:pPr>
    <w:rPr>
      <w:b/>
      <w:color w:val="0032C8" w:themeColor="accent1"/>
    </w:rPr>
  </w:style>
  <w:style w:type="paragraph" w:styleId="TM2">
    <w:name w:val="toc 2"/>
    <w:basedOn w:val="Normal"/>
    <w:next w:val="Normal"/>
    <w:uiPriority w:val="39"/>
    <w:unhideWhenUsed/>
    <w:pPr>
      <w:spacing w:after="100"/>
      <w:ind w:left="788" w:right="284" w:hanging="567"/>
    </w:pPr>
    <w:rPr>
      <w:b/>
      <w:color w:val="0064FF" w:themeColor="accent2"/>
    </w:rPr>
  </w:style>
  <w:style w:type="paragraph" w:styleId="TM3">
    <w:name w:val="toc 3"/>
    <w:basedOn w:val="Normal"/>
    <w:next w:val="Normal"/>
    <w:uiPriority w:val="39"/>
    <w:unhideWhenUsed/>
    <w:pPr>
      <w:spacing w:before="60" w:after="60" w:line="240" w:lineRule="auto"/>
      <w:ind w:left="1560" w:right="284" w:hanging="709"/>
    </w:pPr>
  </w:style>
  <w:style w:type="character" w:styleId="Lienhypertexte">
    <w:name w:val="Hyperlink"/>
    <w:basedOn w:val="Policepardfaut"/>
    <w:uiPriority w:val="99"/>
    <w:unhideWhenUsed/>
    <w:rPr>
      <w:color w:val="0563C1" w:themeColor="hyperlink"/>
      <w:u w:val="single"/>
    </w:rPr>
  </w:style>
  <w:style w:type="paragraph" w:styleId="En-ttedetabledesmatires">
    <w:name w:val="TOC Heading"/>
    <w:basedOn w:val="Titre1"/>
    <w:next w:val="Normal"/>
    <w:uiPriority w:val="39"/>
    <w:unhideWhenUsed/>
    <w:qFormat/>
    <w:pPr>
      <w:numPr>
        <w:numId w:val="0"/>
      </w:numPr>
      <w:spacing w:after="0" w:line="259" w:lineRule="auto"/>
      <w:outlineLvl w:val="9"/>
    </w:pPr>
    <w:rPr>
      <w:b w:val="0"/>
      <w:color w:val="002495" w:themeColor="accent1" w:themeShade="BF"/>
      <w:lang w:eastAsia="fr-FR"/>
      <w14:ligatures w14:val="none"/>
    </w:rPr>
  </w:style>
  <w:style w:type="paragraph" w:styleId="Lgende">
    <w:name w:val="caption"/>
    <w:basedOn w:val="Normal"/>
    <w:next w:val="Normal"/>
    <w:uiPriority w:val="35"/>
    <w:unhideWhenUsed/>
    <w:qFormat/>
    <w:pPr>
      <w:spacing w:before="0" w:after="200" w:line="240" w:lineRule="auto"/>
    </w:pPr>
    <w:rPr>
      <w:i/>
      <w:iCs/>
      <w:color w:val="44546A" w:themeColor="text2"/>
      <w:sz w:val="18"/>
      <w:szCs w:val="18"/>
    </w:rPr>
  </w:style>
  <w:style w:type="paragraph" w:customStyle="1" w:styleId="Default">
    <w:name w:val="Default"/>
    <w:pPr>
      <w:spacing w:after="0" w:line="240" w:lineRule="auto"/>
    </w:pPr>
    <w:rPr>
      <w:rFonts w:ascii="Open Sans" w:hAnsi="Open Sans" w:cs="Open Sans"/>
      <w:color w:val="000000"/>
      <w:sz w:val="24"/>
      <w:szCs w:val="24"/>
      <w14:ligatures w14:val="none"/>
    </w:rPr>
  </w:style>
  <w:style w:type="character" w:customStyle="1" w:styleId="ParagraphedelisteCar">
    <w:name w:val="Paragraphe de liste Car"/>
    <w:basedOn w:val="Policepardfaut"/>
    <w:link w:val="Paragraphedeliste"/>
    <w:uiPriority w:val="34"/>
    <w:qFormat/>
  </w:style>
  <w:style w:type="paragraph" w:styleId="Corpsdetexte">
    <w:name w:val="Body Text"/>
    <w:basedOn w:val="Normal"/>
    <w:link w:val="CorpsdetexteCar"/>
    <w:semiHidden/>
    <w:pPr>
      <w:keepLines/>
      <w:spacing w:before="120" w:after="120" w:line="240" w:lineRule="auto"/>
      <w:ind w:left="709"/>
    </w:pPr>
    <w:rPr>
      <w:rFonts w:ascii="Century Gothic" w:eastAsia="Times New Roman" w:hAnsi="Century Gothic" w:cs="Times New Roman"/>
      <w:lang w:eastAsia="fr-FR"/>
      <w14:ligatures w14:val="none"/>
    </w:rPr>
  </w:style>
  <w:style w:type="character" w:customStyle="1" w:styleId="CorpsdetexteCar">
    <w:name w:val="Corps de texte Car"/>
    <w:basedOn w:val="Policepardfaut"/>
    <w:link w:val="Corpsdetexte"/>
    <w:semiHidden/>
    <w:rPr>
      <w:rFonts w:ascii="Century Gothic" w:eastAsia="Times New Roman" w:hAnsi="Century Gothic" w:cs="Times New Roman"/>
      <w:lang w:eastAsia="fr-FR"/>
      <w14:ligatures w14:val="none"/>
    </w:rPr>
  </w:style>
  <w:style w:type="character" w:customStyle="1" w:styleId="Mentionnonrsolue1">
    <w:name w:val="Mention non résolue1"/>
    <w:basedOn w:val="Policepardfaut"/>
    <w:uiPriority w:val="99"/>
    <w:semiHidden/>
    <w:unhideWhenUsed/>
    <w:rPr>
      <w:color w:val="605E5C"/>
      <w:shd w:val="clear" w:color="auto" w:fill="E1DFDD"/>
    </w:rPr>
  </w:style>
  <w:style w:type="character" w:styleId="Lienhypertextesuivivisit">
    <w:name w:val="FollowedHyperlink"/>
    <w:basedOn w:val="Policepardfaut"/>
    <w:uiPriority w:val="99"/>
    <w:semiHidden/>
    <w:unhideWhenUsed/>
    <w:rPr>
      <w:color w:val="954F72" w:themeColor="followedHyperlink"/>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Liste">
    <w:name w:val="List"/>
    <w:basedOn w:val="Normal"/>
    <w:uiPriority w:val="2"/>
    <w:qFormat/>
    <w:pPr>
      <w:numPr>
        <w:numId w:val="5"/>
      </w:numPr>
      <w:spacing w:before="0" w:after="160" w:line="240" w:lineRule="auto"/>
      <w:contextualSpacing/>
    </w:pPr>
    <w:rPr>
      <w:rFonts w:ascii="Arial" w:hAnsi="Arial" w:cs="Open Sans"/>
      <w14:ligatures w14:val="none"/>
    </w:rPr>
  </w:style>
  <w:style w:type="paragraph" w:styleId="Liste2">
    <w:name w:val="List 2"/>
    <w:basedOn w:val="Liste"/>
    <w:uiPriority w:val="2"/>
    <w:qFormat/>
    <w:pPr>
      <w:numPr>
        <w:ilvl w:val="1"/>
      </w:numPr>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character" w:styleId="lev">
    <w:name w:val="Strong"/>
    <w:basedOn w:val="Policepardfaut"/>
    <w:uiPriority w:val="22"/>
    <w:qFormat/>
    <w:rPr>
      <w:b/>
      <w:bCs/>
    </w:rPr>
  </w:style>
  <w:style w:type="paragraph" w:styleId="PrformatHTML">
    <w:name w:val="HTML Preformatted"/>
    <w:basedOn w:val="Normal"/>
    <w:link w:val="PrformatHTMLC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lang w:eastAsia="fr-FR"/>
      <w14:ligatures w14:val="none"/>
    </w:rPr>
  </w:style>
  <w:style w:type="character" w:customStyle="1" w:styleId="PrformatHTMLCar">
    <w:name w:val="Préformaté HTML Car"/>
    <w:basedOn w:val="Policepardfaut"/>
    <w:link w:val="PrformatHTML"/>
    <w:uiPriority w:val="99"/>
    <w:rPr>
      <w:rFonts w:ascii="Courier New" w:eastAsia="Times New Roman" w:hAnsi="Courier New" w:cs="Courier New"/>
      <w:sz w:val="20"/>
      <w:szCs w:val="20"/>
      <w:lang w:eastAsia="fr-FR"/>
      <w14:ligatures w14:val="none"/>
    </w:rPr>
  </w:style>
  <w:style w:type="paragraph" w:customStyle="1" w:styleId="Gras">
    <w:name w:val="Gras"/>
    <w:basedOn w:val="Normal"/>
    <w:uiPriority w:val="1"/>
    <w:qFormat/>
    <w:pPr>
      <w:spacing w:before="0" w:after="160" w:line="240" w:lineRule="auto"/>
    </w:pPr>
    <w:rPr>
      <w:rFonts w:ascii="Open Sans" w:hAnsi="Open Sans" w:cs="Open Sans"/>
      <w:b/>
      <w14:ligatures w14:val="none"/>
    </w:rPr>
  </w:style>
  <w:style w:type="paragraph" w:customStyle="1" w:styleId="Rougegras">
    <w:name w:val="Rouge gras"/>
    <w:basedOn w:val="Normal"/>
    <w:uiPriority w:val="1"/>
    <w:qFormat/>
    <w:pPr>
      <w:spacing w:before="0" w:after="160" w:line="240" w:lineRule="auto"/>
    </w:pPr>
    <w:rPr>
      <w:rFonts w:ascii="Open Sans" w:hAnsi="Open Sans" w:cs="Open Sans"/>
      <w:b/>
      <w:color w:val="FF0000"/>
      <w14:ligatures w14:val="none"/>
    </w:rPr>
  </w:style>
  <w:style w:type="paragraph" w:customStyle="1" w:styleId="LienPlace">
    <w:name w:val="Lien Place"/>
    <w:basedOn w:val="Normal"/>
    <w:uiPriority w:val="3"/>
    <w:qFormat/>
    <w:pPr>
      <w:spacing w:before="0" w:after="160" w:line="240" w:lineRule="auto"/>
      <w:jc w:val="center"/>
    </w:pPr>
    <w:rPr>
      <w:rFonts w:ascii="Open Sans" w:hAnsi="Open Sans" w:cs="Open Sans"/>
      <w:b/>
      <w:color w:val="0563C1" w:themeColor="hyperlink"/>
      <w:u w:val="single"/>
      <w14:ligatures w14:val="none"/>
    </w:rPr>
  </w:style>
  <w:style w:type="paragraph" w:customStyle="1" w:styleId="Adresse">
    <w:name w:val="Adresse"/>
    <w:basedOn w:val="Normal"/>
    <w:uiPriority w:val="4"/>
    <w:qFormat/>
    <w:pPr>
      <w:spacing w:before="0" w:after="160" w:line="240" w:lineRule="auto"/>
      <w:contextualSpacing/>
      <w:jc w:val="center"/>
    </w:pPr>
    <w:rPr>
      <w:rFonts w:ascii="Open Sans" w:hAnsi="Open Sans" w:cs="Open Sans"/>
      <w14:ligatures w14:val="none"/>
    </w:rPr>
  </w:style>
  <w:style w:type="paragraph" w:customStyle="1" w:styleId="whitespace-normal">
    <w:name w:val="whitespace-normal"/>
    <w:basedOn w:val="Normal"/>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paragraph" w:styleId="Textedebulles">
    <w:name w:val="Balloon Text"/>
    <w:basedOn w:val="Normal"/>
    <w:link w:val="TextedebullesCar"/>
    <w:uiPriority w:val="99"/>
    <w:semiHidden/>
    <w:unhideWhenUse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Rvision">
    <w:name w:val="Revision"/>
    <w:hidden/>
    <w:uiPriority w:val="99"/>
    <w:semiHidden/>
    <w:rsid w:val="007114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c.europa.eu/tools/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ume.chorus-pro.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jpg"/><Relationship Id="rId4"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IFREMER">
      <a:dk1>
        <a:sysClr val="windowText" lastClr="000000"/>
      </a:dk1>
      <a:lt1>
        <a:sysClr val="window" lastClr="FFFFFF"/>
      </a:lt1>
      <a:dk2>
        <a:srgbClr val="44546A"/>
      </a:dk2>
      <a:lt2>
        <a:srgbClr val="E7E6E6"/>
      </a:lt2>
      <a:accent1>
        <a:srgbClr val="0032C8"/>
      </a:accent1>
      <a:accent2>
        <a:srgbClr val="0064FF"/>
      </a:accent2>
      <a:accent3>
        <a:srgbClr val="FFEB32"/>
      </a:accent3>
      <a:accent4>
        <a:srgbClr val="FFC000"/>
      </a:accent4>
      <a:accent5>
        <a:srgbClr val="5B9BD5"/>
      </a:accent5>
      <a:accent6>
        <a:srgbClr val="70AD47"/>
      </a:accent6>
      <a:hlink>
        <a:srgbClr val="0563C1"/>
      </a:hlink>
      <a:folHlink>
        <a:srgbClr val="954F72"/>
      </a:folHlink>
    </a:clrScheme>
    <a:fontScheme name="l">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84AC7-2653-40BF-B4D6-76CA79286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4251</Words>
  <Characters>23381</Characters>
  <Application>Microsoft Office Word</Application>
  <DocSecurity>0</DocSecurity>
  <Lines>194</Lines>
  <Paragraphs>55</Paragraphs>
  <ScaleCrop>false</ScaleCrop>
  <Company/>
  <LinksUpToDate>false</LinksUpToDate>
  <CharactersWithSpaces>27577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241000131 RAC</dc:title>
  <dc:subject/>
  <dc:creator>Jean-Christophe MOREAU</dc:creator>
  <cp:keywords/>
  <dc:description/>
  <cp:lastModifiedBy>Pierre DAELMAN, Ifremer Toulon PDG-DFO-NSE-NE, 0</cp:lastModifiedBy>
  <cp:revision>13</cp:revision>
  <dcterms:created xsi:type="dcterms:W3CDTF">2025-07-22T13:07:00Z</dcterms:created>
  <dcterms:modified xsi:type="dcterms:W3CDTF">2025-10-06T07:21:00Z</dcterms:modified>
</cp:coreProperties>
</file>